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366395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434975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10-K</w:t>
      </w:r>
    </w:p>
    <w:p>
      <w:pPr>
        <w:ind w:left="340" w:hanging="265"/>
        <w:spacing w:after="0" w:line="185" w:lineRule="auto"/>
        <w:tabs>
          <w:tab w:leader="none" w:pos="340" w:val="left"/>
        </w:tabs>
        <w:numPr>
          <w:ilvl w:val="0"/>
          <w:numId w:val="1"/>
        </w:numPr>
        <w:rPr>
          <w:rFonts w:ascii="MS PGothic" w:cs="MS PGothic" w:eastAsia="MS PGothic" w:hAnsi="MS PGothic"/>
          <w:sz w:val="39"/>
          <w:szCs w:val="39"/>
          <w:color w:val="auto"/>
          <w:vertAlign w:val="subscript"/>
        </w:rPr>
      </w:pPr>
      <w:r>
        <w:rPr>
          <w:rFonts w:ascii="Arial" w:cs="Arial" w:eastAsia="Arial" w:hAnsi="Arial"/>
          <w:sz w:val="16"/>
          <w:szCs w:val="16"/>
          <w:b w:val="1"/>
          <w:bCs w:val="1"/>
          <w:color w:val="auto"/>
        </w:rPr>
        <w:t>ANNUAL REPORT PURSUANT TO SECTION 13 OR 15(d) OF THE SECURITIES EXCHANGE ACT OF 1934</w:t>
      </w:r>
    </w:p>
    <w:p>
      <w:pPr>
        <w:spacing w:after="0" w:line="27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 the fiscal year ended June 30, 2023</w:t>
      </w:r>
    </w:p>
    <w:p>
      <w:pPr>
        <w:ind w:left="380" w:hanging="305"/>
        <w:spacing w:after="0" w:line="182" w:lineRule="auto"/>
        <w:tabs>
          <w:tab w:leader="none" w:pos="380" w:val="left"/>
        </w:tabs>
        <w:numPr>
          <w:ilvl w:val="0"/>
          <w:numId w:val="2"/>
        </w:numPr>
        <w:rPr>
          <w:rFonts w:ascii="MS PGothic" w:cs="MS PGothic" w:eastAsia="MS PGothic" w:hAnsi="MS PGothic"/>
          <w:sz w:val="37"/>
          <w:szCs w:val="37"/>
          <w:color w:val="auto"/>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285" w:lineRule="exact"/>
        <w:rPr>
          <w:sz w:val="24"/>
          <w:szCs w:val="24"/>
          <w:color w:val="auto"/>
        </w:rPr>
      </w:pPr>
    </w:p>
    <w:p>
      <w:pPr>
        <w:ind w:left="3980"/>
        <w:spacing w:after="0"/>
        <w:tabs>
          <w:tab w:leader="none" w:pos="6100" w:val="left"/>
        </w:tabs>
        <w:rPr>
          <w:sz w:val="20"/>
          <w:szCs w:val="20"/>
          <w:color w:val="auto"/>
        </w:rPr>
      </w:pPr>
      <w:r>
        <w:rPr>
          <w:rFonts w:ascii="Arial" w:cs="Arial" w:eastAsia="Arial" w:hAnsi="Arial"/>
          <w:sz w:val="13"/>
          <w:szCs w:val="13"/>
          <w:b w:val="1"/>
          <w:bCs w:val="1"/>
          <w:color w:val="auto"/>
        </w:rPr>
        <w:t>For the transition period from</w:t>
      </w:r>
      <w:r>
        <w:rPr>
          <w:sz w:val="20"/>
          <w:szCs w:val="20"/>
          <w:color w:val="auto"/>
        </w:rPr>
        <w:tab/>
      </w:r>
      <w:r>
        <w:rPr>
          <w:rFonts w:ascii="Arial" w:cs="Arial" w:eastAsia="Arial" w:hAnsi="Arial"/>
          <w:sz w:val="10"/>
          <w:szCs w:val="10"/>
          <w:b w:val="1"/>
          <w:bCs w:val="1"/>
          <w:color w:val="auto"/>
        </w:rPr>
        <w:t>to</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Commission File Number 001-32942</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EVOLUTION PETROLEUM CORPORATION</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2306320</wp:posOffset>
            </wp:positionH>
            <wp:positionV relativeFrom="paragraph">
              <wp:posOffset>39370</wp:posOffset>
            </wp:positionV>
            <wp:extent cx="1868805" cy="4800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68805" cy="480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520" w:type="dxa"/>
            <w:vAlign w:val="bottom"/>
            <w:gridSpan w:val="2"/>
          </w:tcPr>
          <w:p>
            <w:pPr>
              <w:ind w:left="2260"/>
              <w:spacing w:after="0"/>
              <w:rPr>
                <w:sz w:val="20"/>
                <w:szCs w:val="20"/>
                <w:color w:val="auto"/>
              </w:rPr>
            </w:pPr>
            <w:r>
              <w:rPr>
                <w:rFonts w:ascii="Arial" w:cs="Arial" w:eastAsia="Arial" w:hAnsi="Arial"/>
                <w:sz w:val="16"/>
                <w:szCs w:val="16"/>
                <w:b w:val="1"/>
                <w:bCs w:val="1"/>
                <w:color w:val="auto"/>
              </w:rPr>
              <w:t>Nevada</w:t>
            </w:r>
          </w:p>
        </w:tc>
        <w:tc>
          <w:tcPr>
            <w:tcW w:w="3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00" w:type="dxa"/>
            <w:vAlign w:val="bottom"/>
          </w:tcPr>
          <w:p>
            <w:pPr>
              <w:jc w:val="center"/>
              <w:ind w:right="1644"/>
              <w:spacing w:after="0"/>
              <w:rPr>
                <w:sz w:val="20"/>
                <w:szCs w:val="20"/>
                <w:color w:val="auto"/>
              </w:rPr>
            </w:pPr>
            <w:r>
              <w:rPr>
                <w:rFonts w:ascii="Arial" w:cs="Arial" w:eastAsia="Arial" w:hAnsi="Arial"/>
                <w:sz w:val="16"/>
                <w:szCs w:val="16"/>
                <w:b w:val="1"/>
                <w:bCs w:val="1"/>
                <w:color w:val="auto"/>
                <w:w w:val="91"/>
              </w:rPr>
              <w:t>41-1781991</w:t>
            </w:r>
          </w:p>
        </w:tc>
      </w:tr>
      <w:tr>
        <w:trPr>
          <w:trHeight w:val="203"/>
        </w:trPr>
        <w:tc>
          <w:tcPr>
            <w:tcW w:w="3520" w:type="dxa"/>
            <w:vAlign w:val="bottom"/>
            <w:gridSpan w:val="2"/>
          </w:tcPr>
          <w:p>
            <w:pPr>
              <w:ind w:left="1560"/>
              <w:spacing w:after="0"/>
              <w:rPr>
                <w:sz w:val="20"/>
                <w:szCs w:val="20"/>
                <w:color w:val="auto"/>
              </w:rPr>
            </w:pPr>
            <w:r>
              <w:rPr>
                <w:rFonts w:ascii="Arial" w:cs="Arial" w:eastAsia="Arial" w:hAnsi="Arial"/>
                <w:sz w:val="16"/>
                <w:szCs w:val="16"/>
                <w:color w:val="auto"/>
                <w:w w:val="96"/>
              </w:rPr>
              <w:t>(State or other jurisdiction of</w:t>
            </w:r>
          </w:p>
        </w:tc>
        <w:tc>
          <w:tcPr>
            <w:tcW w:w="3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00" w:type="dxa"/>
            <w:vAlign w:val="bottom"/>
          </w:tcPr>
          <w:p>
            <w:pPr>
              <w:jc w:val="center"/>
              <w:ind w:right="1644"/>
              <w:spacing w:after="0"/>
              <w:rPr>
                <w:sz w:val="20"/>
                <w:szCs w:val="20"/>
                <w:color w:val="auto"/>
              </w:rPr>
            </w:pPr>
            <w:r>
              <w:rPr>
                <w:rFonts w:ascii="Arial" w:cs="Arial" w:eastAsia="Arial" w:hAnsi="Arial"/>
                <w:sz w:val="16"/>
                <w:szCs w:val="16"/>
                <w:color w:val="auto"/>
                <w:w w:val="94"/>
              </w:rPr>
              <w:t>(IRS Employer</w:t>
            </w:r>
          </w:p>
        </w:tc>
      </w:tr>
      <w:tr>
        <w:trPr>
          <w:trHeight w:val="206"/>
        </w:trPr>
        <w:tc>
          <w:tcPr>
            <w:tcW w:w="3520" w:type="dxa"/>
            <w:vAlign w:val="bottom"/>
            <w:gridSpan w:val="2"/>
          </w:tcPr>
          <w:p>
            <w:pPr>
              <w:ind w:left="1540"/>
              <w:spacing w:after="0"/>
              <w:rPr>
                <w:sz w:val="20"/>
                <w:szCs w:val="20"/>
                <w:color w:val="auto"/>
              </w:rPr>
            </w:pPr>
            <w:r>
              <w:rPr>
                <w:rFonts w:ascii="Arial" w:cs="Arial" w:eastAsia="Arial" w:hAnsi="Arial"/>
                <w:sz w:val="16"/>
                <w:szCs w:val="16"/>
                <w:color w:val="auto"/>
                <w:w w:val="94"/>
              </w:rPr>
              <w:t>incorporation or organization)</w:t>
            </w:r>
          </w:p>
        </w:tc>
        <w:tc>
          <w:tcPr>
            <w:tcW w:w="3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00" w:type="dxa"/>
            <w:vAlign w:val="bottom"/>
          </w:tcPr>
          <w:p>
            <w:pPr>
              <w:jc w:val="center"/>
              <w:ind w:right="1664"/>
              <w:spacing w:after="0"/>
              <w:rPr>
                <w:sz w:val="20"/>
                <w:szCs w:val="20"/>
                <w:color w:val="auto"/>
              </w:rPr>
            </w:pPr>
            <w:r>
              <w:rPr>
                <w:rFonts w:ascii="Arial" w:cs="Arial" w:eastAsia="Arial" w:hAnsi="Arial"/>
                <w:sz w:val="16"/>
                <w:szCs w:val="16"/>
                <w:color w:val="auto"/>
                <w:w w:val="96"/>
              </w:rPr>
              <w:t>Identification No.)</w:t>
            </w:r>
          </w:p>
        </w:tc>
      </w:tr>
      <w:tr>
        <w:trPr>
          <w:trHeight w:val="194"/>
        </w:trPr>
        <w:tc>
          <w:tcPr>
            <w:tcW w:w="3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1155 Dairy Ashford Road, Suite 425, Houston, Texas 77079</w:t>
            </w:r>
          </w:p>
        </w:tc>
        <w:tc>
          <w:tcPr>
            <w:tcW w:w="3300" w:type="dxa"/>
            <w:vAlign w:val="bottom"/>
          </w:tcPr>
          <w:p>
            <w:pPr>
              <w:spacing w:after="0"/>
              <w:rPr>
                <w:sz w:val="16"/>
                <w:szCs w:val="16"/>
                <w:color w:val="auto"/>
              </w:rPr>
            </w:pPr>
          </w:p>
        </w:tc>
      </w:tr>
      <w:tr>
        <w:trPr>
          <w:trHeight w:val="160"/>
        </w:trPr>
        <w:tc>
          <w:tcPr>
            <w:tcW w:w="3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0" w:type="dxa"/>
            <w:vAlign w:val="bottom"/>
            <w:gridSpan w:val="2"/>
          </w:tcPr>
          <w:p>
            <w:pPr>
              <w:jc w:val="center"/>
              <w:ind w:right="220"/>
              <w:spacing w:after="0"/>
              <w:rPr>
                <w:sz w:val="20"/>
                <w:szCs w:val="20"/>
                <w:color w:val="auto"/>
              </w:rPr>
            </w:pPr>
            <w:r>
              <w:rPr>
                <w:rFonts w:ascii="Arial" w:cs="Arial" w:eastAsia="Arial" w:hAnsi="Arial"/>
                <w:sz w:val="13"/>
                <w:szCs w:val="13"/>
                <w:color w:val="auto"/>
                <w:w w:val="88"/>
              </w:rPr>
              <w:t>(Address of principal executive offices and zip code)</w:t>
            </w:r>
          </w:p>
        </w:tc>
        <w:tc>
          <w:tcPr>
            <w:tcW w:w="3300" w:type="dxa"/>
            <w:vAlign w:val="bottom"/>
          </w:tcPr>
          <w:p>
            <w:pPr>
              <w:spacing w:after="0"/>
              <w:rPr>
                <w:sz w:val="13"/>
                <w:szCs w:val="13"/>
                <w:color w:val="auto"/>
              </w:rPr>
            </w:pPr>
          </w:p>
        </w:tc>
      </w:tr>
      <w:tr>
        <w:trPr>
          <w:trHeight w:val="177"/>
        </w:trPr>
        <w:tc>
          <w:tcPr>
            <w:tcW w:w="3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80" w:type="dxa"/>
            <w:vAlign w:val="bottom"/>
          </w:tcPr>
          <w:p>
            <w:pPr>
              <w:jc w:val="center"/>
              <w:spacing w:after="0"/>
              <w:rPr>
                <w:sz w:val="20"/>
                <w:szCs w:val="20"/>
                <w:color w:val="auto"/>
              </w:rPr>
            </w:pPr>
            <w:r>
              <w:rPr>
                <w:rFonts w:ascii="Arial" w:cs="Arial" w:eastAsia="Arial" w:hAnsi="Arial"/>
                <w:sz w:val="13"/>
                <w:szCs w:val="13"/>
                <w:b w:val="1"/>
                <w:bCs w:val="1"/>
                <w:color w:val="auto"/>
                <w:w w:val="87"/>
              </w:rPr>
              <w:t>(713) 935-0122</w:t>
            </w:r>
          </w:p>
        </w:tc>
        <w:tc>
          <w:tcPr>
            <w:tcW w:w="220" w:type="dxa"/>
            <w:vAlign w:val="bottom"/>
          </w:tcPr>
          <w:p>
            <w:pPr>
              <w:spacing w:after="0"/>
              <w:rPr>
                <w:sz w:val="15"/>
                <w:szCs w:val="15"/>
                <w:color w:val="auto"/>
              </w:rPr>
            </w:pPr>
          </w:p>
        </w:tc>
        <w:tc>
          <w:tcPr>
            <w:tcW w:w="3300" w:type="dxa"/>
            <w:vAlign w:val="bottom"/>
          </w:tcPr>
          <w:p>
            <w:pPr>
              <w:spacing w:after="0"/>
              <w:rPr>
                <w:sz w:val="15"/>
                <w:szCs w:val="15"/>
                <w:color w:val="auto"/>
              </w:rPr>
            </w:pPr>
          </w:p>
        </w:tc>
      </w:tr>
      <w:tr>
        <w:trPr>
          <w:trHeight w:val="160"/>
        </w:trPr>
        <w:tc>
          <w:tcPr>
            <w:tcW w:w="3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0" w:type="dxa"/>
            <w:vAlign w:val="bottom"/>
            <w:gridSpan w:val="2"/>
          </w:tcPr>
          <w:p>
            <w:pPr>
              <w:jc w:val="center"/>
              <w:ind w:right="220"/>
              <w:spacing w:after="0"/>
              <w:rPr>
                <w:sz w:val="20"/>
                <w:szCs w:val="20"/>
                <w:color w:val="auto"/>
              </w:rPr>
            </w:pPr>
            <w:r>
              <w:rPr>
                <w:rFonts w:ascii="Arial" w:cs="Arial" w:eastAsia="Arial" w:hAnsi="Arial"/>
                <w:sz w:val="13"/>
                <w:szCs w:val="13"/>
                <w:color w:val="auto"/>
                <w:w w:val="87"/>
              </w:rPr>
              <w:t>(Registrant’s telephone number, including area code)</w:t>
            </w:r>
          </w:p>
        </w:tc>
        <w:tc>
          <w:tcPr>
            <w:tcW w:w="3300" w:type="dxa"/>
            <w:vAlign w:val="bottom"/>
          </w:tcPr>
          <w:p>
            <w:pPr>
              <w:spacing w:after="0"/>
              <w:rPr>
                <w:sz w:val="13"/>
                <w:szCs w:val="13"/>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20"/>
        </w:trPr>
        <w:tc>
          <w:tcPr>
            <w:tcW w:w="3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Title of Each Class</w:t>
            </w:r>
          </w:p>
        </w:tc>
        <w:tc>
          <w:tcPr>
            <w:tcW w:w="3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Trading Symbol(s)</w:t>
            </w:r>
          </w:p>
        </w:tc>
        <w:tc>
          <w:tcPr>
            <w:tcW w:w="330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5"/>
        </w:trPr>
        <w:tc>
          <w:tcPr>
            <w:tcW w:w="3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193"/>
        </w:trPr>
        <w:tc>
          <w:tcPr>
            <w:tcW w:w="3520" w:type="dxa"/>
            <w:vAlign w:val="bottom"/>
            <w:gridSpan w:val="2"/>
          </w:tcPr>
          <w:p>
            <w:pPr>
              <w:jc w:val="center"/>
              <w:ind w:right="240"/>
              <w:spacing w:after="0"/>
              <w:rPr>
                <w:sz w:val="20"/>
                <w:szCs w:val="20"/>
                <w:color w:val="auto"/>
              </w:rPr>
            </w:pPr>
            <w:r>
              <w:rPr>
                <w:rFonts w:ascii="Arial" w:cs="Arial" w:eastAsia="Arial" w:hAnsi="Arial"/>
                <w:sz w:val="13"/>
                <w:szCs w:val="13"/>
                <w:color w:val="auto"/>
                <w:w w:val="87"/>
              </w:rPr>
              <w:t>Common Stock, $0.001 par value</w:t>
            </w:r>
          </w:p>
        </w:tc>
        <w:tc>
          <w:tcPr>
            <w:tcW w:w="3400" w:type="dxa"/>
            <w:vAlign w:val="bottom"/>
            <w:gridSpan w:val="2"/>
          </w:tcPr>
          <w:p>
            <w:pPr>
              <w:jc w:val="center"/>
              <w:ind w:right="260"/>
              <w:spacing w:after="0"/>
              <w:rPr>
                <w:sz w:val="20"/>
                <w:szCs w:val="20"/>
                <w:color w:val="auto"/>
              </w:rPr>
            </w:pPr>
            <w:r>
              <w:rPr>
                <w:rFonts w:ascii="Arial" w:cs="Arial" w:eastAsia="Arial" w:hAnsi="Arial"/>
                <w:sz w:val="13"/>
                <w:szCs w:val="13"/>
                <w:color w:val="auto"/>
                <w:w w:val="92"/>
              </w:rPr>
              <w:t>EPM</w:t>
            </w:r>
          </w:p>
        </w:tc>
        <w:tc>
          <w:tcPr>
            <w:tcW w:w="3300" w:type="dxa"/>
            <w:vAlign w:val="bottom"/>
          </w:tcPr>
          <w:p>
            <w:pPr>
              <w:jc w:val="center"/>
              <w:spacing w:after="0"/>
              <w:rPr>
                <w:sz w:val="20"/>
                <w:szCs w:val="20"/>
                <w:color w:val="auto"/>
              </w:rPr>
            </w:pPr>
            <w:r>
              <w:rPr>
                <w:rFonts w:ascii="Arial" w:cs="Arial" w:eastAsia="Arial" w:hAnsi="Arial"/>
                <w:sz w:val="13"/>
                <w:szCs w:val="13"/>
                <w:color w:val="auto"/>
                <w:w w:val="89"/>
              </w:rPr>
              <w:t>NYSE American</w:t>
            </w:r>
          </w:p>
        </w:tc>
      </w:tr>
    </w:tbl>
    <w:p>
      <w:pPr>
        <w:spacing w:after="0" w:line="79"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Securities registered pursuant to Section 12(g) of the Act: </w:t>
      </w:r>
      <w:r>
        <w:rPr>
          <w:rFonts w:ascii="Arial" w:cs="Arial" w:eastAsia="Arial" w:hAnsi="Arial"/>
          <w:sz w:val="13"/>
          <w:szCs w:val="13"/>
          <w:b w:val="1"/>
          <w:bCs w:val="1"/>
          <w:color w:val="auto"/>
        </w:rPr>
        <w:t>None</w:t>
      </w:r>
    </w:p>
    <w:p>
      <w:pPr>
        <w:spacing w:after="0" w:line="38" w:lineRule="exact"/>
        <w:rPr>
          <w:sz w:val="24"/>
          <w:szCs w:val="24"/>
          <w:color w:val="auto"/>
        </w:rPr>
      </w:pPr>
    </w:p>
    <w:p>
      <w:pPr>
        <w:spacing w:after="0" w:line="138" w:lineRule="exact"/>
        <w:tabs>
          <w:tab w:leader="none" w:pos="6400" w:val="left"/>
        </w:tabs>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sz w:val="20"/>
          <w:szCs w:val="20"/>
          <w:color w:val="auto"/>
        </w:rPr>
        <w:tab/>
      </w:r>
      <w:r>
        <w:rPr>
          <w:rFonts w:ascii="Arial" w:cs="Arial" w:eastAsia="Arial" w:hAnsi="Arial"/>
          <w:sz w:val="10"/>
          <w:szCs w:val="10"/>
          <w:color w:val="auto"/>
        </w:rPr>
        <w:t xml:space="preserve">No: </w:t>
      </w:r>
      <w:r>
        <w:rPr>
          <w:rFonts w:ascii="MS PGothic" w:cs="MS PGothic" w:eastAsia="MS PGothic" w:hAnsi="MS PGothic"/>
          <w:sz w:val="10"/>
          <w:szCs w:val="10"/>
          <w:color w:val="auto"/>
        </w:rPr>
        <w:t>☒</w:t>
      </w:r>
    </w:p>
    <w:p>
      <w:pPr>
        <w:spacing w:after="0" w:line="92" w:lineRule="exact"/>
        <w:rPr>
          <w:sz w:val="24"/>
          <w:szCs w:val="24"/>
          <w:color w:val="auto"/>
        </w:rPr>
      </w:pPr>
    </w:p>
    <w:p>
      <w:pPr>
        <w:spacing w:after="0" w:line="138" w:lineRule="exact"/>
        <w:tabs>
          <w:tab w:leader="none" w:pos="6520" w:val="left"/>
        </w:tabs>
        <w:rPr>
          <w:sz w:val="20"/>
          <w:szCs w:val="20"/>
          <w:color w:val="auto"/>
        </w:rPr>
      </w:pPr>
      <w:r>
        <w:rPr>
          <w:rFonts w:ascii="Arial" w:cs="Arial" w:eastAsia="Arial" w:hAnsi="Arial"/>
          <w:sz w:val="12"/>
          <w:szCs w:val="12"/>
          <w:color w:val="auto"/>
        </w:rPr>
        <w:t xml:space="preserve">Indicate by check mark if the registrant is not required to file reports pursuant to Section 13 or Section 15(d) of the Act. Yes: </w:t>
      </w:r>
      <w:r>
        <w:rPr>
          <w:rFonts w:ascii="MS PGothic" w:cs="MS PGothic" w:eastAsia="MS PGothic" w:hAnsi="MS PGothic"/>
          <w:sz w:val="12"/>
          <w:szCs w:val="12"/>
          <w:color w:val="auto"/>
        </w:rPr>
        <w:t>☐</w:t>
      </w:r>
      <w:r>
        <w:rPr>
          <w:sz w:val="20"/>
          <w:szCs w:val="20"/>
          <w:color w:val="auto"/>
        </w:rPr>
        <w:tab/>
      </w:r>
      <w:r>
        <w:rPr>
          <w:rFonts w:ascii="Arial" w:cs="Arial" w:eastAsia="Arial" w:hAnsi="Arial"/>
          <w:sz w:val="10"/>
          <w:szCs w:val="10"/>
          <w:color w:val="auto"/>
        </w:rPr>
        <w:t xml:space="preserve">No: </w:t>
      </w:r>
      <w:r>
        <w:rPr>
          <w:rFonts w:ascii="MS PGothic" w:cs="MS PGothic" w:eastAsia="MS PGothic" w:hAnsi="MS PGothic"/>
          <w:sz w:val="10"/>
          <w:szCs w:val="10"/>
          <w:color w:val="auto"/>
        </w:rPr>
        <w:t>☒</w:t>
      </w:r>
    </w:p>
    <w:p>
      <w:pPr>
        <w:spacing w:after="0" w:line="97" w:lineRule="exact"/>
        <w:rPr>
          <w:sz w:val="24"/>
          <w:szCs w:val="24"/>
          <w:color w:val="auto"/>
        </w:rPr>
      </w:pPr>
    </w:p>
    <w:p>
      <w:pPr>
        <w:ind w:right="320"/>
        <w:spacing w:after="0" w:line="164"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23" w:lineRule="exact"/>
        <w:rPr>
          <w:sz w:val="24"/>
          <w:szCs w:val="24"/>
          <w:color w:val="auto"/>
        </w:rPr>
      </w:pPr>
    </w:p>
    <w:p>
      <w:pPr>
        <w:ind w:right="80"/>
        <w:spacing w:after="0" w:line="164"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7" w:lineRule="exact"/>
        <w:rPr>
          <w:sz w:val="24"/>
          <w:szCs w:val="24"/>
          <w:color w:val="auto"/>
        </w:rPr>
      </w:pPr>
    </w:p>
    <w:p>
      <w:pPr>
        <w:ind w:right="220"/>
        <w:spacing w:after="0" w:line="23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 of "large accelerated filer", "accelerated filer", "smaller reporting company" and "emerging growth company" in Rule 12b-2 of the Exchange Act.</w:t>
      </w:r>
    </w:p>
    <w:p>
      <w:pPr>
        <w:sectPr>
          <w:pgSz w:w="11900" w:h="16838" w:orient="portrait"/>
          <w:cols w:equalWidth="0" w:num="1">
            <w:col w:w="10220"/>
          </w:cols>
          <w:pgMar w:left="840" w:top="665" w:right="839" w:bottom="1440" w:gutter="0" w:footer="0" w:header="0"/>
        </w:sectPr>
      </w:pPr>
    </w:p>
    <w:p>
      <w:pPr>
        <w:spacing w:after="0" w:line="71" w:lineRule="exact"/>
        <w:rPr>
          <w:sz w:val="24"/>
          <w:szCs w:val="24"/>
          <w:color w:val="auto"/>
        </w:rPr>
      </w:pPr>
    </w:p>
    <w:p>
      <w:pPr>
        <w:spacing w:after="0"/>
        <w:rPr>
          <w:sz w:val="20"/>
          <w:szCs w:val="20"/>
          <w:color w:val="auto"/>
        </w:rPr>
      </w:pPr>
      <w:r>
        <w:rPr>
          <w:rFonts w:ascii="Arial" w:cs="Arial" w:eastAsia="Arial" w:hAnsi="Arial"/>
          <w:sz w:val="10"/>
          <w:szCs w:val="10"/>
          <w:color w:val="auto"/>
        </w:rPr>
        <w:t>Large accelerated filer</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rPr>
          <w:sz w:val="20"/>
          <w:szCs w:val="20"/>
          <w:color w:val="auto"/>
        </w:rPr>
      </w:pPr>
      <w:r>
        <w:rPr>
          <w:rFonts w:ascii="Arial" w:cs="Arial" w:eastAsia="Arial" w:hAnsi="Arial"/>
          <w:sz w:val="10"/>
          <w:szCs w:val="10"/>
          <w:color w:val="auto"/>
        </w:rPr>
        <w:t>Accelerated filer</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rPr>
          <w:sz w:val="20"/>
          <w:szCs w:val="20"/>
          <w:color w:val="auto"/>
        </w:rPr>
      </w:pPr>
      <w:r>
        <w:rPr>
          <w:rFonts w:ascii="Arial" w:cs="Arial" w:eastAsia="Arial" w:hAnsi="Arial"/>
          <w:sz w:val="10"/>
          <w:szCs w:val="10"/>
          <w:color w:val="auto"/>
        </w:rPr>
        <w:t>Non-accelerated filer</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rPr>
          <w:sz w:val="20"/>
          <w:szCs w:val="20"/>
          <w:color w:val="auto"/>
        </w:rPr>
      </w:pPr>
      <w:r>
        <w:rPr>
          <w:rFonts w:ascii="Arial" w:cs="Arial" w:eastAsia="Arial" w:hAnsi="Arial"/>
          <w:sz w:val="10"/>
          <w:szCs w:val="10"/>
          <w:color w:val="auto"/>
        </w:rPr>
        <w:t>Smaller reporting company</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2" w:lineRule="exact"/>
        <w:rPr>
          <w:sz w:val="24"/>
          <w:szCs w:val="24"/>
          <w:color w:val="auto"/>
        </w:rPr>
      </w:pPr>
    </w:p>
    <w:p>
      <w:pPr>
        <w:sectPr>
          <w:pgSz w:w="11900" w:h="16838" w:orient="portrait"/>
          <w:cols w:equalWidth="0" w:num="8">
            <w:col w:w="1120" w:space="500"/>
            <w:col w:w="580" w:space="720"/>
            <w:col w:w="840" w:space="380"/>
            <w:col w:w="400" w:space="720"/>
            <w:col w:w="1060" w:space="420"/>
            <w:col w:w="400" w:space="720"/>
            <w:col w:w="1360" w:space="660"/>
            <w:col w:w="340"/>
          </w:cols>
          <w:pgMar w:left="840" w:top="665" w:right="839" w:bottom="1440" w:gutter="0" w:footer="0" w:header="0"/>
          <w:type w:val="continuous"/>
        </w:sectPr>
      </w:pPr>
    </w:p>
    <w:p>
      <w:pPr>
        <w:spacing w:after="0" w:line="20" w:lineRule="exact"/>
        <w:rPr>
          <w:sz w:val="24"/>
          <w:szCs w:val="24"/>
          <w:color w:val="auto"/>
        </w:rPr>
      </w:pPr>
    </w:p>
    <w:p>
      <w:pPr>
        <w:ind w:left="7860"/>
        <w:spacing w:after="0"/>
        <w:rPr>
          <w:sz w:val="20"/>
          <w:szCs w:val="20"/>
          <w:color w:val="auto"/>
        </w:rPr>
      </w:pPr>
      <w:r>
        <w:rPr>
          <w:rFonts w:ascii="Arial" w:cs="Arial" w:eastAsia="Arial" w:hAnsi="Arial"/>
          <w:sz w:val="10"/>
          <w:szCs w:val="10"/>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2">
            <w:col w:w="9220" w:space="660"/>
            <w:col w:w="340"/>
          </w:cols>
          <w:pgMar w:left="840" w:top="665" w:right="839" w:bottom="1440" w:gutter="0" w:footer="0" w:header="0"/>
          <w:type w:val="continuous"/>
        </w:sectPr>
      </w:pPr>
    </w:p>
    <w:p>
      <w:pPr>
        <w:spacing w:after="0" w:line="112" w:lineRule="exact"/>
        <w:rPr>
          <w:sz w:val="24"/>
          <w:szCs w:val="24"/>
          <w:color w:val="auto"/>
        </w:rPr>
      </w:pPr>
    </w:p>
    <w:p>
      <w:pPr>
        <w:ind w:right="380"/>
        <w:spacing w:after="0" w:line="164"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3" w:lineRule="exact"/>
        <w:rPr>
          <w:sz w:val="24"/>
          <w:szCs w:val="24"/>
          <w:color w:val="auto"/>
        </w:rPr>
      </w:pPr>
    </w:p>
    <w:p>
      <w:pPr>
        <w:ind w:right="860"/>
        <w:spacing w:after="0" w:line="164" w:lineRule="exact"/>
        <w:rPr>
          <w:sz w:val="20"/>
          <w:szCs w:val="20"/>
          <w:color w:val="auto"/>
        </w:rPr>
      </w:pPr>
      <w:r>
        <w:rPr>
          <w:rFonts w:ascii="Arial" w:cs="Arial" w:eastAsia="Arial" w:hAnsi="Arial"/>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spacing w:after="0" w:line="4" w:lineRule="exact"/>
        <w:rPr>
          <w:sz w:val="24"/>
          <w:szCs w:val="24"/>
          <w:color w:val="auto"/>
        </w:rPr>
      </w:pPr>
    </w:p>
    <w:p>
      <w:pPr>
        <w:spacing w:after="0" w:line="138" w:lineRule="exact"/>
        <w:tabs>
          <w:tab w:leader="none" w:pos="6240" w:val="left"/>
        </w:tabs>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sz w:val="20"/>
          <w:szCs w:val="20"/>
          <w:color w:val="auto"/>
        </w:rPr>
        <w:tab/>
      </w:r>
      <w:r>
        <w:rPr>
          <w:rFonts w:ascii="Arial" w:cs="Arial" w:eastAsia="Arial" w:hAnsi="Arial"/>
          <w:sz w:val="10"/>
          <w:szCs w:val="10"/>
          <w:color w:val="auto"/>
        </w:rPr>
        <w:t xml:space="preserve">No: </w:t>
      </w:r>
      <w:r>
        <w:rPr>
          <w:rFonts w:ascii="MS PGothic" w:cs="MS PGothic" w:eastAsia="MS PGothic" w:hAnsi="MS PGothic"/>
          <w:sz w:val="10"/>
          <w:szCs w:val="10"/>
          <w:color w:val="auto"/>
        </w:rPr>
        <w:t>☒</w:t>
      </w:r>
    </w:p>
    <w:p>
      <w:pPr>
        <w:spacing w:after="0" w:line="111" w:lineRule="exact"/>
        <w:rPr>
          <w:sz w:val="24"/>
          <w:szCs w:val="24"/>
          <w:color w:val="auto"/>
        </w:rPr>
      </w:pPr>
    </w:p>
    <w:p>
      <w:pPr>
        <w:ind w:right="300"/>
        <w:spacing w:after="0" w:line="236" w:lineRule="auto"/>
        <w:rPr>
          <w:sz w:val="20"/>
          <w:szCs w:val="20"/>
          <w:color w:val="auto"/>
        </w:rPr>
      </w:pPr>
      <w:r>
        <w:rPr>
          <w:rFonts w:ascii="Arial" w:cs="Arial" w:eastAsia="Arial" w:hAnsi="Arial"/>
          <w:sz w:val="13"/>
          <w:szCs w:val="13"/>
          <w:color w:val="auto"/>
        </w:rPr>
        <w:t>The aggregate market value of the voting and non-voting common equity held by non-affiliates on December 31, 2022, the last business day of the registrant’s most recently completed second fiscal quarter, based on the closing price on that date of $7.55 on the NYSE American was $233.4 million.</w:t>
      </w:r>
    </w:p>
    <w:p>
      <w:pPr>
        <w:spacing w:after="0" w:line="43" w:lineRule="exact"/>
        <w:rPr>
          <w:sz w:val="24"/>
          <w:szCs w:val="24"/>
          <w:color w:val="auto"/>
        </w:rPr>
      </w:pPr>
    </w:p>
    <w:p>
      <w:pPr>
        <w:spacing w:after="0"/>
        <w:rPr>
          <w:sz w:val="20"/>
          <w:szCs w:val="20"/>
          <w:color w:val="auto"/>
        </w:rPr>
      </w:pPr>
      <w:r>
        <w:rPr>
          <w:rFonts w:ascii="Arial" w:cs="Arial" w:eastAsia="Arial" w:hAnsi="Arial"/>
          <w:sz w:val="13"/>
          <w:szCs w:val="13"/>
          <w:color w:val="auto"/>
        </w:rPr>
        <w:t>The number of shares outstanding of the registrant’s common stock, par value $0.001, as of September 8, 2023, was 33,235,723.</w:t>
      </w:r>
    </w:p>
    <w:p>
      <w:pPr>
        <w:spacing w:after="0" w:line="49" w:lineRule="exact"/>
        <w:rPr>
          <w:sz w:val="24"/>
          <w:szCs w:val="24"/>
          <w:color w:val="auto"/>
        </w:rPr>
      </w:pPr>
    </w:p>
    <w:p>
      <w:pPr>
        <w:ind w:left="3660"/>
        <w:spacing w:after="0"/>
        <w:rPr>
          <w:sz w:val="20"/>
          <w:szCs w:val="20"/>
          <w:color w:val="auto"/>
        </w:rPr>
      </w:pPr>
      <w:r>
        <w:rPr>
          <w:rFonts w:ascii="Arial" w:cs="Arial" w:eastAsia="Arial" w:hAnsi="Arial"/>
          <w:sz w:val="13"/>
          <w:szCs w:val="13"/>
          <w:b w:val="1"/>
          <w:bCs w:val="1"/>
          <w:color w:val="auto"/>
        </w:rPr>
        <w:t>DOCUMENTS INCORPORATED BY REFERENCE</w:t>
      </w:r>
    </w:p>
    <w:p>
      <w:pPr>
        <w:spacing w:after="0" w:line="71" w:lineRule="exact"/>
        <w:rPr>
          <w:sz w:val="24"/>
          <w:szCs w:val="24"/>
          <w:color w:val="auto"/>
        </w:rPr>
      </w:pPr>
    </w:p>
    <w:p>
      <w:pPr>
        <w:ind w:right="480"/>
        <w:spacing w:after="0" w:line="236" w:lineRule="auto"/>
        <w:rPr>
          <w:sz w:val="20"/>
          <w:szCs w:val="20"/>
          <w:color w:val="auto"/>
        </w:rPr>
      </w:pPr>
      <w:r>
        <w:rPr>
          <w:rFonts w:ascii="Arial" w:cs="Arial" w:eastAsia="Arial" w:hAnsi="Arial"/>
          <w:sz w:val="13"/>
          <w:szCs w:val="13"/>
          <w:color w:val="auto"/>
        </w:rPr>
        <w:t>Portions of the proxy statement related to the registrant’s 2023 Annual Meeting of Stockholders to be filed within 120 days of the end of the fiscal year covered by this report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602615</wp:posOffset>
            </wp:positionV>
            <wp:extent cx="6497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45085</wp:posOffset>
            </wp:positionV>
            <wp:extent cx="6497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88265</wp:posOffset>
            </wp:positionV>
            <wp:extent cx="64979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EVOLUTION PETROLEUM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2023 ANNUAL REPORT ON FORM 10-K</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520" w:type="dxa"/>
            <w:vAlign w:val="bottom"/>
            <w:gridSpan w:val="34"/>
            <w:shd w:val="clear" w:color="auto" w:fill="CCEEFF"/>
          </w:tcPr>
          <w:p>
            <w:pPr>
              <w:ind w:left="20"/>
              <w:spacing w:after="0"/>
              <w:rPr>
                <w:sz w:val="20"/>
                <w:szCs w:val="20"/>
                <w:color w:val="auto"/>
              </w:rPr>
            </w:pPr>
            <w:r>
              <w:rPr>
                <w:rFonts w:ascii="Arial" w:cs="Arial" w:eastAsia="Arial" w:hAnsi="Arial"/>
                <w:sz w:val="18"/>
                <w:szCs w:val="18"/>
                <w:b w:val="1"/>
                <w:bCs w:val="1"/>
                <w:color w:val="0000EE"/>
              </w:rPr>
              <w:t>Forward-Looking Statements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520" w:type="dxa"/>
            <w:vAlign w:val="bottom"/>
            <w:gridSpan w:val="34"/>
          </w:tcPr>
          <w:p>
            <w:pPr>
              <w:ind w:left="20"/>
              <w:spacing w:after="0" w:line="176" w:lineRule="exact"/>
              <w:rPr>
                <w:sz w:val="20"/>
                <w:szCs w:val="20"/>
                <w:color w:val="auto"/>
              </w:rPr>
            </w:pPr>
            <w:r>
              <w:rPr>
                <w:rFonts w:ascii="Arial" w:cs="Arial" w:eastAsia="Arial" w:hAnsi="Arial"/>
                <w:sz w:val="18"/>
                <w:szCs w:val="18"/>
                <w:b w:val="1"/>
                <w:bCs w:val="1"/>
                <w:color w:val="0000EE"/>
              </w:rPr>
              <w:t>Glossary of Selected Petroleum Industry Terms</w:t>
            </w:r>
          </w:p>
        </w:tc>
        <w:tc>
          <w:tcPr>
            <w:tcW w:w="380" w:type="dxa"/>
            <w:vAlign w:val="bottom"/>
          </w:tcPr>
          <w:p>
            <w:pPr>
              <w:jc w:val="right"/>
              <w:spacing w:after="0" w:line="176" w:lineRule="exact"/>
              <w:rPr>
                <w:sz w:val="20"/>
                <w:szCs w:val="20"/>
                <w:color w:val="auto"/>
              </w:rPr>
            </w:pPr>
            <w:r>
              <w:rPr>
                <w:rFonts w:ascii="Arial" w:cs="Arial" w:eastAsia="Arial" w:hAnsi="Arial"/>
                <w:sz w:val="18"/>
                <w:szCs w:val="18"/>
                <w:color w:val="auto"/>
              </w:rPr>
              <w:t>iv</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gridSpan w:val="8"/>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0000EE"/>
              </w:rPr>
              <w:t>PART I</w:t>
            </w: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gridSpan w:val="8"/>
          </w:tcPr>
          <w:p>
            <w:pPr>
              <w:ind w:left="20"/>
              <w:spacing w:after="0" w:line="176" w:lineRule="exact"/>
              <w:rPr>
                <w:sz w:val="20"/>
                <w:szCs w:val="20"/>
                <w:color w:val="auto"/>
              </w:rPr>
            </w:pPr>
            <w:r>
              <w:rPr>
                <w:rFonts w:ascii="Arial" w:cs="Arial" w:eastAsia="Arial" w:hAnsi="Arial"/>
                <w:sz w:val="18"/>
                <w:szCs w:val="18"/>
                <w:color w:val="0000EE"/>
              </w:rPr>
              <w:t>Item 1.</w:t>
            </w:r>
          </w:p>
        </w:tc>
        <w:tc>
          <w:tcPr>
            <w:tcW w:w="7540" w:type="dxa"/>
            <w:vAlign w:val="bottom"/>
            <w:gridSpan w:val="26"/>
          </w:tcPr>
          <w:p>
            <w:pPr>
              <w:spacing w:after="0" w:line="176" w:lineRule="exact"/>
              <w:rPr>
                <w:sz w:val="20"/>
                <w:szCs w:val="20"/>
                <w:color w:val="auto"/>
              </w:rPr>
            </w:pPr>
            <w:r>
              <w:rPr>
                <w:rFonts w:ascii="Arial" w:cs="Arial" w:eastAsia="Arial" w:hAnsi="Arial"/>
                <w:sz w:val="18"/>
                <w:szCs w:val="18"/>
                <w:color w:val="0000EE"/>
              </w:rPr>
              <w:t>Business</w:t>
            </w:r>
          </w:p>
        </w:tc>
        <w:tc>
          <w:tcPr>
            <w:tcW w:w="380" w:type="dxa"/>
            <w:vAlign w:val="bottom"/>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gridSpan w:val="8"/>
            <w:shd w:val="clear" w:color="auto" w:fill="CCEEFF"/>
          </w:tcPr>
          <w:p>
            <w:pPr>
              <w:ind w:left="20"/>
              <w:spacing w:after="0" w:line="176" w:lineRule="exact"/>
              <w:rPr>
                <w:sz w:val="20"/>
                <w:szCs w:val="20"/>
                <w:color w:val="auto"/>
              </w:rPr>
            </w:pPr>
            <w:r>
              <w:rPr>
                <w:rFonts w:ascii="Arial" w:cs="Arial" w:eastAsia="Arial" w:hAnsi="Arial"/>
                <w:sz w:val="18"/>
                <w:szCs w:val="18"/>
                <w:color w:val="0000EE"/>
              </w:rPr>
              <w:t>Item 1A.</w:t>
            </w:r>
          </w:p>
        </w:tc>
        <w:tc>
          <w:tcPr>
            <w:tcW w:w="7540" w:type="dxa"/>
            <w:vAlign w:val="bottom"/>
            <w:gridSpan w:val="26"/>
            <w:shd w:val="clear" w:color="auto" w:fill="CCEEFF"/>
          </w:tcPr>
          <w:p>
            <w:pPr>
              <w:spacing w:after="0" w:line="176" w:lineRule="exact"/>
              <w:rPr>
                <w:sz w:val="20"/>
                <w:szCs w:val="20"/>
                <w:color w:val="auto"/>
              </w:rPr>
            </w:pPr>
            <w:r>
              <w:rPr>
                <w:rFonts w:ascii="Arial" w:cs="Arial" w:eastAsia="Arial" w:hAnsi="Arial"/>
                <w:sz w:val="18"/>
                <w:szCs w:val="18"/>
                <w:color w:val="0000EE"/>
              </w:rPr>
              <w:t>Risk Factors</w:t>
            </w:r>
          </w:p>
        </w:tc>
        <w:tc>
          <w:tcPr>
            <w:tcW w:w="3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gridSpan w:val="8"/>
          </w:tcPr>
          <w:p>
            <w:pPr>
              <w:ind w:left="20"/>
              <w:spacing w:after="0" w:line="176" w:lineRule="exact"/>
              <w:rPr>
                <w:sz w:val="20"/>
                <w:szCs w:val="20"/>
                <w:color w:val="auto"/>
              </w:rPr>
            </w:pPr>
            <w:r>
              <w:rPr>
                <w:rFonts w:ascii="Arial" w:cs="Arial" w:eastAsia="Arial" w:hAnsi="Arial"/>
                <w:sz w:val="18"/>
                <w:szCs w:val="18"/>
                <w:color w:val="0000EE"/>
              </w:rPr>
              <w:t>Item 1B.</w:t>
            </w:r>
          </w:p>
        </w:tc>
        <w:tc>
          <w:tcPr>
            <w:tcW w:w="7540" w:type="dxa"/>
            <w:vAlign w:val="bottom"/>
            <w:gridSpan w:val="26"/>
          </w:tcPr>
          <w:p>
            <w:pPr>
              <w:spacing w:after="0" w:line="176" w:lineRule="exact"/>
              <w:rPr>
                <w:sz w:val="20"/>
                <w:szCs w:val="20"/>
                <w:color w:val="auto"/>
              </w:rPr>
            </w:pPr>
            <w:r>
              <w:rPr>
                <w:rFonts w:ascii="Arial" w:cs="Arial" w:eastAsia="Arial" w:hAnsi="Arial"/>
                <w:sz w:val="18"/>
                <w:szCs w:val="18"/>
                <w:color w:val="0000EE"/>
              </w:rPr>
              <w:t>Unresolved Staff Comments</w:t>
            </w:r>
          </w:p>
        </w:tc>
        <w:tc>
          <w:tcPr>
            <w:tcW w:w="380" w:type="dxa"/>
            <w:vAlign w:val="bottom"/>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gridSpan w:val="8"/>
            <w:shd w:val="clear" w:color="auto" w:fill="CCEEFF"/>
          </w:tcPr>
          <w:p>
            <w:pPr>
              <w:ind w:left="20"/>
              <w:spacing w:after="0" w:line="176" w:lineRule="exact"/>
              <w:rPr>
                <w:sz w:val="20"/>
                <w:szCs w:val="20"/>
                <w:color w:val="auto"/>
              </w:rPr>
            </w:pPr>
            <w:r>
              <w:rPr>
                <w:rFonts w:ascii="Arial" w:cs="Arial" w:eastAsia="Arial" w:hAnsi="Arial"/>
                <w:sz w:val="18"/>
                <w:szCs w:val="18"/>
                <w:color w:val="0000EE"/>
              </w:rPr>
              <w:t>Item 2.</w:t>
            </w:r>
          </w:p>
        </w:tc>
        <w:tc>
          <w:tcPr>
            <w:tcW w:w="7540" w:type="dxa"/>
            <w:vAlign w:val="bottom"/>
            <w:gridSpan w:val="26"/>
            <w:shd w:val="clear" w:color="auto" w:fill="CCEEFF"/>
          </w:tcPr>
          <w:p>
            <w:pPr>
              <w:spacing w:after="0" w:line="176" w:lineRule="exact"/>
              <w:rPr>
                <w:sz w:val="20"/>
                <w:szCs w:val="20"/>
                <w:color w:val="auto"/>
              </w:rPr>
            </w:pPr>
            <w:r>
              <w:rPr>
                <w:rFonts w:ascii="Arial" w:cs="Arial" w:eastAsia="Arial" w:hAnsi="Arial"/>
                <w:sz w:val="18"/>
                <w:szCs w:val="18"/>
                <w:color w:val="0000EE"/>
              </w:rPr>
              <w:t>Properties</w:t>
            </w:r>
          </w:p>
        </w:tc>
        <w:tc>
          <w:tcPr>
            <w:tcW w:w="3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gridSpan w:val="8"/>
          </w:tcPr>
          <w:p>
            <w:pPr>
              <w:ind w:left="20"/>
              <w:spacing w:after="0" w:line="176" w:lineRule="exact"/>
              <w:rPr>
                <w:sz w:val="20"/>
                <w:szCs w:val="20"/>
                <w:color w:val="auto"/>
              </w:rPr>
            </w:pPr>
            <w:r>
              <w:rPr>
                <w:rFonts w:ascii="Arial" w:cs="Arial" w:eastAsia="Arial" w:hAnsi="Arial"/>
                <w:sz w:val="18"/>
                <w:szCs w:val="18"/>
                <w:color w:val="0000EE"/>
              </w:rPr>
              <w:t>Item 3.</w:t>
            </w:r>
          </w:p>
        </w:tc>
        <w:tc>
          <w:tcPr>
            <w:tcW w:w="7540" w:type="dxa"/>
            <w:vAlign w:val="bottom"/>
            <w:gridSpan w:val="26"/>
          </w:tcPr>
          <w:p>
            <w:pPr>
              <w:spacing w:after="0" w:line="176" w:lineRule="exact"/>
              <w:rPr>
                <w:sz w:val="20"/>
                <w:szCs w:val="20"/>
                <w:color w:val="auto"/>
              </w:rPr>
            </w:pPr>
            <w:r>
              <w:rPr>
                <w:rFonts w:ascii="Arial" w:cs="Arial" w:eastAsia="Arial" w:hAnsi="Arial"/>
                <w:sz w:val="18"/>
                <w:szCs w:val="18"/>
                <w:color w:val="0000EE"/>
              </w:rPr>
              <w:t>Legal Proceedings</w:t>
            </w:r>
          </w:p>
        </w:tc>
        <w:tc>
          <w:tcPr>
            <w:tcW w:w="380" w:type="dxa"/>
            <w:vAlign w:val="bottom"/>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gridSpan w:val="8"/>
            <w:shd w:val="clear" w:color="auto" w:fill="CCEEFF"/>
          </w:tcPr>
          <w:p>
            <w:pPr>
              <w:ind w:left="20"/>
              <w:spacing w:after="0" w:line="176" w:lineRule="exact"/>
              <w:rPr>
                <w:sz w:val="20"/>
                <w:szCs w:val="20"/>
                <w:color w:val="auto"/>
              </w:rPr>
            </w:pPr>
            <w:r>
              <w:rPr>
                <w:rFonts w:ascii="Arial" w:cs="Arial" w:eastAsia="Arial" w:hAnsi="Arial"/>
                <w:sz w:val="18"/>
                <w:szCs w:val="18"/>
                <w:color w:val="0000EE"/>
              </w:rPr>
              <w:t>Item 4.</w:t>
            </w:r>
          </w:p>
        </w:tc>
        <w:tc>
          <w:tcPr>
            <w:tcW w:w="7540" w:type="dxa"/>
            <w:vAlign w:val="bottom"/>
            <w:gridSpan w:val="26"/>
            <w:shd w:val="clear" w:color="auto" w:fill="CCEEFF"/>
          </w:tcPr>
          <w:p>
            <w:pPr>
              <w:spacing w:after="0" w:line="176" w:lineRule="exact"/>
              <w:rPr>
                <w:sz w:val="20"/>
                <w:szCs w:val="20"/>
                <w:color w:val="auto"/>
              </w:rPr>
            </w:pPr>
            <w:r>
              <w:rPr>
                <w:rFonts w:ascii="Arial" w:cs="Arial" w:eastAsia="Arial" w:hAnsi="Arial"/>
                <w:sz w:val="18"/>
                <w:szCs w:val="18"/>
                <w:color w:val="0000EE"/>
              </w:rPr>
              <w:t>Mine Safety Disclosures</w:t>
            </w:r>
          </w:p>
        </w:tc>
        <w:tc>
          <w:tcPr>
            <w:tcW w:w="3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gridSpan w:val="8"/>
          </w:tcPr>
          <w:p>
            <w:pPr>
              <w:ind w:left="20"/>
              <w:spacing w:after="0" w:line="176" w:lineRule="exact"/>
              <w:rPr>
                <w:sz w:val="20"/>
                <w:szCs w:val="20"/>
                <w:color w:val="auto"/>
              </w:rPr>
            </w:pPr>
            <w:r>
              <w:rPr>
                <w:rFonts w:ascii="Arial" w:cs="Arial" w:eastAsia="Arial" w:hAnsi="Arial"/>
                <w:sz w:val="18"/>
                <w:szCs w:val="18"/>
                <w:b w:val="1"/>
                <w:bCs w:val="1"/>
                <w:color w:val="0000EE"/>
              </w:rPr>
              <w:t>PART II</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gridSpan w:val="8"/>
            <w:shd w:val="clear" w:color="auto" w:fill="CCEEFF"/>
          </w:tcPr>
          <w:p>
            <w:pPr>
              <w:ind w:left="20"/>
              <w:spacing w:after="0" w:line="176" w:lineRule="exact"/>
              <w:rPr>
                <w:sz w:val="20"/>
                <w:szCs w:val="20"/>
                <w:color w:val="auto"/>
              </w:rPr>
            </w:pPr>
            <w:r>
              <w:rPr>
                <w:rFonts w:ascii="Arial" w:cs="Arial" w:eastAsia="Arial" w:hAnsi="Arial"/>
                <w:sz w:val="18"/>
                <w:szCs w:val="18"/>
                <w:color w:val="0000EE"/>
              </w:rPr>
              <w:t>Item 5.</w:t>
            </w:r>
          </w:p>
        </w:tc>
        <w:tc>
          <w:tcPr>
            <w:tcW w:w="7540" w:type="dxa"/>
            <w:vAlign w:val="bottom"/>
            <w:gridSpan w:val="26"/>
            <w:shd w:val="clear" w:color="auto" w:fill="CCEEFF"/>
          </w:tcPr>
          <w:p>
            <w:pPr>
              <w:spacing w:after="0" w:line="176" w:lineRule="exact"/>
              <w:rPr>
                <w:sz w:val="20"/>
                <w:szCs w:val="20"/>
                <w:color w:val="auto"/>
              </w:rPr>
            </w:pPr>
            <w:r>
              <w:rPr>
                <w:rFonts w:ascii="Arial" w:cs="Arial" w:eastAsia="Arial" w:hAnsi="Arial"/>
                <w:sz w:val="18"/>
                <w:szCs w:val="18"/>
                <w:color w:val="0000EE"/>
                <w:w w:val="93"/>
              </w:rPr>
              <w:t>Market for Registrant’s Common Equity, Related Stockholder Matters and Issuer Purchases of Equity</w:t>
            </w:r>
          </w:p>
        </w:tc>
        <w:tc>
          <w:tcPr>
            <w:tcW w:w="3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0000EE"/>
              <w:bottom w:val="single" w:sz="8" w:color="0000EE"/>
            </w:tcBorders>
            <w:gridSpan w:val="3"/>
            <w:shd w:val="clear" w:color="auto" w:fill="CCEEFF"/>
          </w:tcPr>
          <w:p>
            <w:pPr>
              <w:spacing w:after="0" w:line="196" w:lineRule="exact"/>
              <w:rPr>
                <w:sz w:val="20"/>
                <w:szCs w:val="20"/>
                <w:color w:val="auto"/>
              </w:rPr>
            </w:pPr>
            <w:r>
              <w:rPr>
                <w:rFonts w:ascii="Arial" w:cs="Arial" w:eastAsia="Arial" w:hAnsi="Arial"/>
                <w:sz w:val="18"/>
                <w:szCs w:val="18"/>
                <w:color w:val="0000EE"/>
                <w:w w:val="88"/>
              </w:rPr>
              <w:t>Securities</w:t>
            </w:r>
          </w:p>
        </w:tc>
        <w:tc>
          <w:tcPr>
            <w:tcW w:w="6600" w:type="dxa"/>
            <w:vAlign w:val="bottom"/>
            <w:tcBorders>
              <w:top w:val="single" w:sz="8" w:color="0000EE"/>
              <w:bottom w:val="single" w:sz="8" w:color="CCEEFF"/>
            </w:tcBorders>
            <w:gridSpan w:val="22"/>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80" w:type="dxa"/>
            <w:vAlign w:val="bottom"/>
            <w:gridSpan w:val="8"/>
          </w:tcPr>
          <w:p>
            <w:pPr>
              <w:ind w:left="20"/>
              <w:spacing w:after="0" w:line="176" w:lineRule="exact"/>
              <w:rPr>
                <w:sz w:val="20"/>
                <w:szCs w:val="20"/>
                <w:color w:val="auto"/>
              </w:rPr>
            </w:pPr>
            <w:r>
              <w:rPr>
                <w:rFonts w:ascii="Arial" w:cs="Arial" w:eastAsia="Arial" w:hAnsi="Arial"/>
                <w:sz w:val="18"/>
                <w:szCs w:val="18"/>
                <w:color w:val="0000EE"/>
              </w:rPr>
              <w:t>Item 6.</w:t>
            </w:r>
          </w:p>
        </w:tc>
        <w:tc>
          <w:tcPr>
            <w:tcW w:w="7540" w:type="dxa"/>
            <w:vAlign w:val="bottom"/>
            <w:gridSpan w:val="26"/>
          </w:tcPr>
          <w:p>
            <w:pPr>
              <w:spacing w:after="0" w:line="176" w:lineRule="exact"/>
              <w:rPr>
                <w:sz w:val="20"/>
                <w:szCs w:val="20"/>
                <w:color w:val="auto"/>
              </w:rPr>
            </w:pPr>
            <w:r>
              <w:rPr>
                <w:rFonts w:ascii="Arial" w:cs="Arial" w:eastAsia="Arial" w:hAnsi="Arial"/>
                <w:sz w:val="18"/>
                <w:szCs w:val="18"/>
                <w:color w:val="0000EE"/>
              </w:rPr>
              <w:t>Reserved</w:t>
            </w:r>
          </w:p>
        </w:tc>
        <w:tc>
          <w:tcPr>
            <w:tcW w:w="380" w:type="dxa"/>
            <w:vAlign w:val="bottom"/>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gridSpan w:val="8"/>
            <w:shd w:val="clear" w:color="auto" w:fill="CCEEFF"/>
          </w:tcPr>
          <w:p>
            <w:pPr>
              <w:ind w:left="20"/>
              <w:spacing w:after="0" w:line="176" w:lineRule="exact"/>
              <w:rPr>
                <w:sz w:val="20"/>
                <w:szCs w:val="20"/>
                <w:color w:val="auto"/>
              </w:rPr>
            </w:pPr>
            <w:r>
              <w:rPr>
                <w:rFonts w:ascii="Arial" w:cs="Arial" w:eastAsia="Arial" w:hAnsi="Arial"/>
                <w:sz w:val="18"/>
                <w:szCs w:val="18"/>
                <w:color w:val="0000EE"/>
              </w:rPr>
              <w:t>Item 7.</w:t>
            </w:r>
          </w:p>
        </w:tc>
        <w:tc>
          <w:tcPr>
            <w:tcW w:w="7540" w:type="dxa"/>
            <w:vAlign w:val="bottom"/>
            <w:gridSpan w:val="26"/>
            <w:shd w:val="clear" w:color="auto" w:fill="CCEEFF"/>
          </w:tcPr>
          <w:p>
            <w:pPr>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3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gridSpan w:val="8"/>
          </w:tcPr>
          <w:p>
            <w:pPr>
              <w:ind w:left="20"/>
              <w:spacing w:after="0" w:line="176" w:lineRule="exact"/>
              <w:rPr>
                <w:sz w:val="20"/>
                <w:szCs w:val="20"/>
                <w:color w:val="auto"/>
              </w:rPr>
            </w:pPr>
            <w:r>
              <w:rPr>
                <w:rFonts w:ascii="Arial" w:cs="Arial" w:eastAsia="Arial" w:hAnsi="Arial"/>
                <w:sz w:val="18"/>
                <w:szCs w:val="18"/>
                <w:color w:val="0000EE"/>
              </w:rPr>
              <w:t>Item 7A.</w:t>
            </w:r>
          </w:p>
        </w:tc>
        <w:tc>
          <w:tcPr>
            <w:tcW w:w="7540" w:type="dxa"/>
            <w:vAlign w:val="bottom"/>
            <w:gridSpan w:val="26"/>
          </w:tcPr>
          <w:p>
            <w:pPr>
              <w:spacing w:after="0" w:line="176" w:lineRule="exact"/>
              <w:rPr>
                <w:sz w:val="20"/>
                <w:szCs w:val="20"/>
                <w:color w:val="auto"/>
              </w:rPr>
            </w:pPr>
            <w:r>
              <w:rPr>
                <w:rFonts w:ascii="Arial" w:cs="Arial" w:eastAsia="Arial" w:hAnsi="Arial"/>
                <w:sz w:val="18"/>
                <w:szCs w:val="18"/>
                <w:color w:val="0000EE"/>
              </w:rPr>
              <w:t>Quantitative and Qualitative Disclosures About Market Risk</w:t>
            </w:r>
            <w:r>
              <w:rPr>
                <w:rFonts w:ascii="Arial" w:cs="Arial" w:eastAsia="Arial" w:hAnsi="Arial"/>
                <w:sz w:val="18"/>
                <w:szCs w:val="18"/>
                <w:color w:val="000000"/>
              </w:rPr>
              <w:t>s</w:t>
            </w:r>
          </w:p>
        </w:tc>
        <w:tc>
          <w:tcPr>
            <w:tcW w:w="380" w:type="dxa"/>
            <w:vAlign w:val="bottom"/>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gridSpan w:val="8"/>
            <w:shd w:val="clear" w:color="auto" w:fill="CCEEFF"/>
          </w:tcPr>
          <w:p>
            <w:pPr>
              <w:ind w:left="20"/>
              <w:spacing w:after="0" w:line="176" w:lineRule="exact"/>
              <w:rPr>
                <w:sz w:val="20"/>
                <w:szCs w:val="20"/>
                <w:color w:val="auto"/>
              </w:rPr>
            </w:pPr>
            <w:r>
              <w:rPr>
                <w:rFonts w:ascii="Arial" w:cs="Arial" w:eastAsia="Arial" w:hAnsi="Arial"/>
                <w:sz w:val="18"/>
                <w:szCs w:val="18"/>
                <w:color w:val="0000EE"/>
              </w:rPr>
              <w:t>Item 8.</w:t>
            </w:r>
          </w:p>
        </w:tc>
        <w:tc>
          <w:tcPr>
            <w:tcW w:w="7540" w:type="dxa"/>
            <w:vAlign w:val="bottom"/>
            <w:gridSpan w:val="26"/>
            <w:shd w:val="clear" w:color="auto" w:fill="CCEEFF"/>
          </w:tcPr>
          <w:p>
            <w:pPr>
              <w:spacing w:after="0" w:line="176" w:lineRule="exact"/>
              <w:rPr>
                <w:sz w:val="20"/>
                <w:szCs w:val="20"/>
                <w:color w:val="auto"/>
              </w:rPr>
            </w:pPr>
            <w:r>
              <w:rPr>
                <w:rFonts w:ascii="Arial" w:cs="Arial" w:eastAsia="Arial" w:hAnsi="Arial"/>
                <w:sz w:val="18"/>
                <w:szCs w:val="18"/>
                <w:color w:val="0000EE"/>
              </w:rPr>
              <w:t>Consolidated Financial Statements and Supplementary Data</w:t>
            </w:r>
          </w:p>
        </w:tc>
        <w:tc>
          <w:tcPr>
            <w:tcW w:w="3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gridSpan w:val="8"/>
          </w:tcPr>
          <w:p>
            <w:pPr>
              <w:ind w:left="20"/>
              <w:spacing w:after="0" w:line="176" w:lineRule="exact"/>
              <w:rPr>
                <w:sz w:val="20"/>
                <w:szCs w:val="20"/>
                <w:color w:val="auto"/>
              </w:rPr>
            </w:pPr>
            <w:r>
              <w:rPr>
                <w:rFonts w:ascii="Arial" w:cs="Arial" w:eastAsia="Arial" w:hAnsi="Arial"/>
                <w:sz w:val="18"/>
                <w:szCs w:val="18"/>
                <w:color w:val="0000EE"/>
              </w:rPr>
              <w:t>Item 9.</w:t>
            </w:r>
          </w:p>
        </w:tc>
        <w:tc>
          <w:tcPr>
            <w:tcW w:w="7540" w:type="dxa"/>
            <w:vAlign w:val="bottom"/>
            <w:gridSpan w:val="26"/>
          </w:tcPr>
          <w:p>
            <w:pPr>
              <w:spacing w:after="0" w:line="176" w:lineRule="exact"/>
              <w:rPr>
                <w:sz w:val="20"/>
                <w:szCs w:val="20"/>
                <w:color w:val="auto"/>
              </w:rPr>
            </w:pPr>
            <w:r>
              <w:rPr>
                <w:rFonts w:ascii="Arial" w:cs="Arial" w:eastAsia="Arial" w:hAnsi="Arial"/>
                <w:sz w:val="18"/>
                <w:szCs w:val="18"/>
                <w:color w:val="0000EE"/>
              </w:rPr>
              <w:t>Changes In and Disagreements with Accountants on Accounting and Financial Disclosure</w:t>
            </w:r>
          </w:p>
        </w:tc>
        <w:tc>
          <w:tcPr>
            <w:tcW w:w="380" w:type="dxa"/>
            <w:vAlign w:val="bottom"/>
          </w:tcPr>
          <w:p>
            <w:pPr>
              <w:jc w:val="right"/>
              <w:spacing w:after="0" w:line="176" w:lineRule="exact"/>
              <w:rPr>
                <w:sz w:val="20"/>
                <w:szCs w:val="20"/>
                <w:color w:val="auto"/>
              </w:rPr>
            </w:pPr>
            <w:r>
              <w:rPr>
                <w:rFonts w:ascii="Arial" w:cs="Arial" w:eastAsia="Arial" w:hAnsi="Arial"/>
                <w:sz w:val="18"/>
                <w:szCs w:val="18"/>
                <w:color w:val="auto"/>
              </w:rPr>
              <w:t>75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gridSpan w:val="8"/>
            <w:shd w:val="clear" w:color="auto" w:fill="CCEEFF"/>
          </w:tcPr>
          <w:p>
            <w:pPr>
              <w:ind w:left="20"/>
              <w:spacing w:after="0" w:line="176" w:lineRule="exact"/>
              <w:rPr>
                <w:sz w:val="20"/>
                <w:szCs w:val="20"/>
                <w:color w:val="auto"/>
              </w:rPr>
            </w:pPr>
            <w:r>
              <w:rPr>
                <w:rFonts w:ascii="Arial" w:cs="Arial" w:eastAsia="Arial" w:hAnsi="Arial"/>
                <w:sz w:val="18"/>
                <w:szCs w:val="18"/>
                <w:color w:val="0000EE"/>
              </w:rPr>
              <w:t>Item 9A.</w:t>
            </w:r>
          </w:p>
        </w:tc>
        <w:tc>
          <w:tcPr>
            <w:tcW w:w="7540" w:type="dxa"/>
            <w:vAlign w:val="bottom"/>
            <w:gridSpan w:val="26"/>
            <w:shd w:val="clear" w:color="auto" w:fill="CCEEFF"/>
          </w:tcPr>
          <w:p>
            <w:pPr>
              <w:spacing w:after="0" w:line="176" w:lineRule="exact"/>
              <w:rPr>
                <w:sz w:val="20"/>
                <w:szCs w:val="20"/>
                <w:color w:val="auto"/>
              </w:rPr>
            </w:pPr>
            <w:r>
              <w:rPr>
                <w:rFonts w:ascii="Arial" w:cs="Arial" w:eastAsia="Arial" w:hAnsi="Arial"/>
                <w:sz w:val="18"/>
                <w:szCs w:val="18"/>
                <w:color w:val="0000EE"/>
              </w:rPr>
              <w:t>Controls and Procedures</w:t>
            </w:r>
          </w:p>
        </w:tc>
        <w:tc>
          <w:tcPr>
            <w:tcW w:w="3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gridSpan w:val="8"/>
          </w:tcPr>
          <w:p>
            <w:pPr>
              <w:ind w:left="20"/>
              <w:spacing w:after="0" w:line="176" w:lineRule="exact"/>
              <w:rPr>
                <w:sz w:val="20"/>
                <w:szCs w:val="20"/>
                <w:color w:val="auto"/>
              </w:rPr>
            </w:pPr>
            <w:r>
              <w:rPr>
                <w:rFonts w:ascii="Arial" w:cs="Arial" w:eastAsia="Arial" w:hAnsi="Arial"/>
                <w:sz w:val="18"/>
                <w:szCs w:val="18"/>
                <w:color w:val="0000EE"/>
              </w:rPr>
              <w:t>Item 9B.</w:t>
            </w:r>
          </w:p>
        </w:tc>
        <w:tc>
          <w:tcPr>
            <w:tcW w:w="7540" w:type="dxa"/>
            <w:vAlign w:val="bottom"/>
            <w:gridSpan w:val="26"/>
          </w:tcPr>
          <w:p>
            <w:pPr>
              <w:spacing w:after="0" w:line="176" w:lineRule="exact"/>
              <w:rPr>
                <w:sz w:val="20"/>
                <w:szCs w:val="20"/>
                <w:color w:val="auto"/>
              </w:rPr>
            </w:pPr>
            <w:r>
              <w:rPr>
                <w:rFonts w:ascii="Arial" w:cs="Arial" w:eastAsia="Arial" w:hAnsi="Arial"/>
                <w:sz w:val="18"/>
                <w:szCs w:val="18"/>
                <w:color w:val="0000EE"/>
              </w:rPr>
              <w:t>Other Information</w:t>
            </w:r>
          </w:p>
        </w:tc>
        <w:tc>
          <w:tcPr>
            <w:tcW w:w="380" w:type="dxa"/>
            <w:vAlign w:val="bottom"/>
          </w:tcPr>
          <w:p>
            <w:pPr>
              <w:jc w:val="right"/>
              <w:spacing w:after="0" w:line="176" w:lineRule="exact"/>
              <w:rPr>
                <w:sz w:val="20"/>
                <w:szCs w:val="20"/>
                <w:color w:val="auto"/>
              </w:rPr>
            </w:pPr>
            <w:r>
              <w:rPr>
                <w:rFonts w:ascii="Arial" w:cs="Arial" w:eastAsia="Arial" w:hAnsi="Arial"/>
                <w:sz w:val="18"/>
                <w:szCs w:val="18"/>
                <w:color w:val="auto"/>
              </w:rPr>
              <w:t>76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gridSpan w:val="8"/>
            <w:shd w:val="clear" w:color="auto" w:fill="CCEEFF"/>
          </w:tcPr>
          <w:p>
            <w:pPr>
              <w:ind w:left="20"/>
              <w:spacing w:after="0" w:line="176" w:lineRule="exact"/>
              <w:rPr>
                <w:sz w:val="20"/>
                <w:szCs w:val="20"/>
                <w:color w:val="auto"/>
              </w:rPr>
            </w:pPr>
            <w:r>
              <w:rPr>
                <w:rFonts w:ascii="Arial" w:cs="Arial" w:eastAsia="Arial" w:hAnsi="Arial"/>
                <w:sz w:val="18"/>
                <w:szCs w:val="18"/>
                <w:color w:val="0000EE"/>
              </w:rPr>
              <w:t>Item 9C.</w:t>
            </w:r>
          </w:p>
        </w:tc>
        <w:tc>
          <w:tcPr>
            <w:tcW w:w="7540" w:type="dxa"/>
            <w:vAlign w:val="bottom"/>
            <w:gridSpan w:val="26"/>
            <w:shd w:val="clear" w:color="auto" w:fill="CCEEFF"/>
          </w:tcPr>
          <w:p>
            <w:pPr>
              <w:spacing w:after="0" w:line="176" w:lineRule="exact"/>
              <w:rPr>
                <w:sz w:val="20"/>
                <w:szCs w:val="20"/>
                <w:color w:val="auto"/>
              </w:rPr>
            </w:pPr>
            <w:r>
              <w:rPr>
                <w:rFonts w:ascii="Arial" w:cs="Arial" w:eastAsia="Arial" w:hAnsi="Arial"/>
                <w:sz w:val="18"/>
                <w:szCs w:val="18"/>
                <w:color w:val="0000EE"/>
              </w:rPr>
              <w:t>Disclosure Regarding Foreign Jurisdictions that Prevent Inspections</w:t>
            </w:r>
          </w:p>
        </w:tc>
        <w:tc>
          <w:tcPr>
            <w:tcW w:w="3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gridSpan w:val="8"/>
          </w:tcPr>
          <w:p>
            <w:pPr>
              <w:ind w:left="20"/>
              <w:spacing w:after="0" w:line="176" w:lineRule="exact"/>
              <w:rPr>
                <w:sz w:val="20"/>
                <w:szCs w:val="20"/>
                <w:color w:val="auto"/>
              </w:rPr>
            </w:pPr>
            <w:r>
              <w:rPr>
                <w:rFonts w:ascii="Arial" w:cs="Arial" w:eastAsia="Arial" w:hAnsi="Arial"/>
                <w:sz w:val="18"/>
                <w:szCs w:val="18"/>
                <w:b w:val="1"/>
                <w:bCs w:val="1"/>
                <w:color w:val="0000EE"/>
              </w:rPr>
              <w:t>PART III</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jc w:val="right"/>
              <w:spacing w:after="0" w:line="176" w:lineRule="exact"/>
              <w:rPr>
                <w:sz w:val="20"/>
                <w:szCs w:val="20"/>
                <w:color w:val="auto"/>
              </w:rPr>
            </w:pPr>
            <w:r>
              <w:rPr>
                <w:rFonts w:ascii="Arial" w:cs="Arial" w:eastAsia="Arial" w:hAnsi="Arial"/>
                <w:sz w:val="18"/>
                <w:szCs w:val="18"/>
                <w:color w:val="auto"/>
              </w:rPr>
              <w:t>77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gridSpan w:val="8"/>
            <w:shd w:val="clear" w:color="auto" w:fill="CCEEFF"/>
          </w:tcPr>
          <w:p>
            <w:pPr>
              <w:ind w:left="20"/>
              <w:spacing w:after="0" w:line="176" w:lineRule="exact"/>
              <w:rPr>
                <w:sz w:val="20"/>
                <w:szCs w:val="20"/>
                <w:color w:val="auto"/>
              </w:rPr>
            </w:pPr>
            <w:r>
              <w:rPr>
                <w:rFonts w:ascii="Arial" w:cs="Arial" w:eastAsia="Arial" w:hAnsi="Arial"/>
                <w:sz w:val="18"/>
                <w:szCs w:val="18"/>
                <w:color w:val="0000EE"/>
              </w:rPr>
              <w:t>Item 10.</w:t>
            </w:r>
          </w:p>
        </w:tc>
        <w:tc>
          <w:tcPr>
            <w:tcW w:w="7540" w:type="dxa"/>
            <w:vAlign w:val="bottom"/>
            <w:gridSpan w:val="26"/>
            <w:shd w:val="clear" w:color="auto" w:fill="CCEEFF"/>
          </w:tcPr>
          <w:p>
            <w:pPr>
              <w:spacing w:after="0" w:line="176" w:lineRule="exact"/>
              <w:rPr>
                <w:sz w:val="20"/>
                <w:szCs w:val="20"/>
                <w:color w:val="auto"/>
              </w:rPr>
            </w:pPr>
            <w:r>
              <w:rPr>
                <w:rFonts w:ascii="Arial" w:cs="Arial" w:eastAsia="Arial" w:hAnsi="Arial"/>
                <w:sz w:val="18"/>
                <w:szCs w:val="18"/>
                <w:color w:val="0000EE"/>
              </w:rPr>
              <w:t>Directors, Executive Officers, and Corporate Governance</w:t>
            </w:r>
          </w:p>
        </w:tc>
        <w:tc>
          <w:tcPr>
            <w:tcW w:w="3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gridSpan w:val="8"/>
          </w:tcPr>
          <w:p>
            <w:pPr>
              <w:ind w:left="20"/>
              <w:spacing w:after="0" w:line="176" w:lineRule="exact"/>
              <w:rPr>
                <w:sz w:val="20"/>
                <w:szCs w:val="20"/>
                <w:color w:val="auto"/>
              </w:rPr>
            </w:pPr>
            <w:r>
              <w:rPr>
                <w:rFonts w:ascii="Arial" w:cs="Arial" w:eastAsia="Arial" w:hAnsi="Arial"/>
                <w:sz w:val="18"/>
                <w:szCs w:val="18"/>
                <w:color w:val="0000EE"/>
              </w:rPr>
              <w:t>Item 11.</w:t>
            </w:r>
          </w:p>
        </w:tc>
        <w:tc>
          <w:tcPr>
            <w:tcW w:w="7540" w:type="dxa"/>
            <w:vAlign w:val="bottom"/>
            <w:gridSpan w:val="26"/>
          </w:tcPr>
          <w:p>
            <w:pPr>
              <w:spacing w:after="0" w:line="176" w:lineRule="exact"/>
              <w:rPr>
                <w:sz w:val="20"/>
                <w:szCs w:val="20"/>
                <w:color w:val="auto"/>
              </w:rPr>
            </w:pPr>
            <w:r>
              <w:rPr>
                <w:rFonts w:ascii="Arial" w:cs="Arial" w:eastAsia="Arial" w:hAnsi="Arial"/>
                <w:sz w:val="18"/>
                <w:szCs w:val="18"/>
                <w:color w:val="0000EE"/>
              </w:rPr>
              <w:t>Executive Compensation</w:t>
            </w:r>
          </w:p>
        </w:tc>
        <w:tc>
          <w:tcPr>
            <w:tcW w:w="380" w:type="dxa"/>
            <w:vAlign w:val="bottom"/>
          </w:tcPr>
          <w:p>
            <w:pPr>
              <w:jc w:val="right"/>
              <w:spacing w:after="0" w:line="176" w:lineRule="exact"/>
              <w:rPr>
                <w:sz w:val="20"/>
                <w:szCs w:val="20"/>
                <w:color w:val="auto"/>
              </w:rPr>
            </w:pPr>
            <w:r>
              <w:rPr>
                <w:rFonts w:ascii="Arial" w:cs="Arial" w:eastAsia="Arial" w:hAnsi="Arial"/>
                <w:sz w:val="18"/>
                <w:szCs w:val="18"/>
                <w:color w:val="auto"/>
              </w:rPr>
              <w:t>77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gridSpan w:val="8"/>
            <w:shd w:val="clear" w:color="auto" w:fill="CCEEFF"/>
          </w:tcPr>
          <w:p>
            <w:pPr>
              <w:ind w:left="20"/>
              <w:spacing w:after="0" w:line="176" w:lineRule="exact"/>
              <w:rPr>
                <w:sz w:val="20"/>
                <w:szCs w:val="20"/>
                <w:color w:val="auto"/>
              </w:rPr>
            </w:pPr>
            <w:r>
              <w:rPr>
                <w:rFonts w:ascii="Arial" w:cs="Arial" w:eastAsia="Arial" w:hAnsi="Arial"/>
                <w:sz w:val="18"/>
                <w:szCs w:val="18"/>
                <w:color w:val="0000EE"/>
              </w:rPr>
              <w:t>Item 12.</w:t>
            </w:r>
          </w:p>
        </w:tc>
        <w:tc>
          <w:tcPr>
            <w:tcW w:w="7540" w:type="dxa"/>
            <w:vAlign w:val="bottom"/>
            <w:gridSpan w:val="26"/>
            <w:shd w:val="clear" w:color="auto" w:fill="CCEEFF"/>
          </w:tcPr>
          <w:p>
            <w:pPr>
              <w:spacing w:after="0" w:line="176" w:lineRule="exact"/>
              <w:rPr>
                <w:sz w:val="20"/>
                <w:szCs w:val="20"/>
                <w:color w:val="auto"/>
              </w:rPr>
            </w:pPr>
            <w:r>
              <w:rPr>
                <w:rFonts w:ascii="Arial" w:cs="Arial" w:eastAsia="Arial" w:hAnsi="Arial"/>
                <w:sz w:val="18"/>
                <w:szCs w:val="18"/>
                <w:color w:val="0000EE"/>
                <w:w w:val="93"/>
              </w:rPr>
              <w:t>Security Ownership of Certain Beneficial Owners and Management and Related Stockholder Matters</w:t>
            </w:r>
          </w:p>
        </w:tc>
        <w:tc>
          <w:tcPr>
            <w:tcW w:w="3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gridSpan w:val="8"/>
          </w:tcPr>
          <w:p>
            <w:pPr>
              <w:ind w:left="20"/>
              <w:spacing w:after="0" w:line="176" w:lineRule="exact"/>
              <w:rPr>
                <w:sz w:val="20"/>
                <w:szCs w:val="20"/>
                <w:color w:val="auto"/>
              </w:rPr>
            </w:pPr>
            <w:r>
              <w:rPr>
                <w:rFonts w:ascii="Arial" w:cs="Arial" w:eastAsia="Arial" w:hAnsi="Arial"/>
                <w:sz w:val="18"/>
                <w:szCs w:val="18"/>
                <w:color w:val="0000EE"/>
              </w:rPr>
              <w:t>Item 13.</w:t>
            </w:r>
          </w:p>
        </w:tc>
        <w:tc>
          <w:tcPr>
            <w:tcW w:w="7540" w:type="dxa"/>
            <w:vAlign w:val="bottom"/>
            <w:gridSpan w:val="26"/>
          </w:tcPr>
          <w:p>
            <w:pPr>
              <w:spacing w:after="0" w:line="176" w:lineRule="exact"/>
              <w:rPr>
                <w:sz w:val="20"/>
                <w:szCs w:val="20"/>
                <w:color w:val="auto"/>
              </w:rPr>
            </w:pPr>
            <w:r>
              <w:rPr>
                <w:rFonts w:ascii="Arial" w:cs="Arial" w:eastAsia="Arial" w:hAnsi="Arial"/>
                <w:sz w:val="18"/>
                <w:szCs w:val="18"/>
                <w:color w:val="0000EE"/>
              </w:rPr>
              <w:t>Certain Relationships and Related Transactions, and Director Independence</w:t>
            </w:r>
          </w:p>
        </w:tc>
        <w:tc>
          <w:tcPr>
            <w:tcW w:w="380" w:type="dxa"/>
            <w:vAlign w:val="bottom"/>
          </w:tcPr>
          <w:p>
            <w:pPr>
              <w:jc w:val="right"/>
              <w:spacing w:after="0" w:line="176" w:lineRule="exact"/>
              <w:rPr>
                <w:sz w:val="20"/>
                <w:szCs w:val="20"/>
                <w:color w:val="auto"/>
              </w:rPr>
            </w:pPr>
            <w:r>
              <w:rPr>
                <w:rFonts w:ascii="Arial" w:cs="Arial" w:eastAsia="Arial" w:hAnsi="Arial"/>
                <w:sz w:val="18"/>
                <w:szCs w:val="18"/>
                <w:color w:val="auto"/>
              </w:rPr>
              <w:t>77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gridSpan w:val="8"/>
            <w:shd w:val="clear" w:color="auto" w:fill="CCEEFF"/>
          </w:tcPr>
          <w:p>
            <w:pPr>
              <w:ind w:left="20"/>
              <w:spacing w:after="0" w:line="176" w:lineRule="exact"/>
              <w:rPr>
                <w:sz w:val="20"/>
                <w:szCs w:val="20"/>
                <w:color w:val="auto"/>
              </w:rPr>
            </w:pPr>
            <w:r>
              <w:rPr>
                <w:rFonts w:ascii="Arial" w:cs="Arial" w:eastAsia="Arial" w:hAnsi="Arial"/>
                <w:sz w:val="18"/>
                <w:szCs w:val="18"/>
                <w:color w:val="0000EE"/>
              </w:rPr>
              <w:t>Item 14.</w:t>
            </w:r>
          </w:p>
        </w:tc>
        <w:tc>
          <w:tcPr>
            <w:tcW w:w="7540" w:type="dxa"/>
            <w:vAlign w:val="bottom"/>
            <w:gridSpan w:val="26"/>
            <w:shd w:val="clear" w:color="auto" w:fill="CCEEFF"/>
          </w:tcPr>
          <w:p>
            <w:pPr>
              <w:spacing w:after="0" w:line="176" w:lineRule="exact"/>
              <w:rPr>
                <w:sz w:val="20"/>
                <w:szCs w:val="20"/>
                <w:color w:val="auto"/>
              </w:rPr>
            </w:pPr>
            <w:r>
              <w:rPr>
                <w:rFonts w:ascii="Arial" w:cs="Arial" w:eastAsia="Arial" w:hAnsi="Arial"/>
                <w:sz w:val="18"/>
                <w:szCs w:val="18"/>
                <w:color w:val="0000EE"/>
              </w:rPr>
              <w:t>Principal Accounting Fees and Services</w:t>
            </w:r>
          </w:p>
        </w:tc>
        <w:tc>
          <w:tcPr>
            <w:tcW w:w="3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gridSpan w:val="8"/>
          </w:tcPr>
          <w:p>
            <w:pPr>
              <w:ind w:left="20"/>
              <w:spacing w:after="0" w:line="176" w:lineRule="exact"/>
              <w:rPr>
                <w:sz w:val="20"/>
                <w:szCs w:val="20"/>
                <w:color w:val="auto"/>
              </w:rPr>
            </w:pPr>
            <w:r>
              <w:rPr>
                <w:rFonts w:ascii="Arial" w:cs="Arial" w:eastAsia="Arial" w:hAnsi="Arial"/>
                <w:sz w:val="18"/>
                <w:szCs w:val="18"/>
                <w:b w:val="1"/>
                <w:bCs w:val="1"/>
                <w:color w:val="0000EE"/>
              </w:rPr>
              <w:t>PART IV</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jc w:val="right"/>
              <w:spacing w:after="0" w:line="176" w:lineRule="exact"/>
              <w:rPr>
                <w:sz w:val="20"/>
                <w:szCs w:val="20"/>
                <w:color w:val="auto"/>
              </w:rPr>
            </w:pPr>
            <w:r>
              <w:rPr>
                <w:rFonts w:ascii="Arial" w:cs="Arial" w:eastAsia="Arial" w:hAnsi="Arial"/>
                <w:sz w:val="18"/>
                <w:szCs w:val="18"/>
                <w:color w:val="auto"/>
              </w:rPr>
              <w:t>78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gridSpan w:val="8"/>
            <w:shd w:val="clear" w:color="auto" w:fill="CCEEFF"/>
          </w:tcPr>
          <w:p>
            <w:pPr>
              <w:ind w:left="20"/>
              <w:spacing w:after="0" w:line="176" w:lineRule="exact"/>
              <w:rPr>
                <w:sz w:val="20"/>
                <w:szCs w:val="20"/>
                <w:color w:val="auto"/>
              </w:rPr>
            </w:pPr>
            <w:r>
              <w:rPr>
                <w:rFonts w:ascii="Arial" w:cs="Arial" w:eastAsia="Arial" w:hAnsi="Arial"/>
                <w:sz w:val="18"/>
                <w:szCs w:val="18"/>
                <w:color w:val="0000EE"/>
              </w:rPr>
              <w:t>Item 15.</w:t>
            </w:r>
          </w:p>
        </w:tc>
        <w:tc>
          <w:tcPr>
            <w:tcW w:w="7540" w:type="dxa"/>
            <w:vAlign w:val="bottom"/>
            <w:gridSpan w:val="26"/>
            <w:shd w:val="clear" w:color="auto" w:fill="CCEEFF"/>
          </w:tcPr>
          <w:p>
            <w:pPr>
              <w:spacing w:after="0" w:line="176" w:lineRule="exact"/>
              <w:rPr>
                <w:sz w:val="20"/>
                <w:szCs w:val="20"/>
                <w:color w:val="auto"/>
              </w:rPr>
            </w:pPr>
            <w:r>
              <w:rPr>
                <w:rFonts w:ascii="Arial" w:cs="Arial" w:eastAsia="Arial" w:hAnsi="Arial"/>
                <w:sz w:val="18"/>
                <w:szCs w:val="18"/>
                <w:color w:val="0000EE"/>
              </w:rPr>
              <w:t>Exhibits and Financial Statement Schedules</w:t>
            </w:r>
          </w:p>
        </w:tc>
        <w:tc>
          <w:tcPr>
            <w:tcW w:w="3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gridSpan w:val="8"/>
          </w:tcPr>
          <w:p>
            <w:pPr>
              <w:ind w:left="20"/>
              <w:spacing w:after="0" w:line="176" w:lineRule="exact"/>
              <w:rPr>
                <w:sz w:val="20"/>
                <w:szCs w:val="20"/>
                <w:color w:val="auto"/>
              </w:rPr>
            </w:pPr>
            <w:r>
              <w:rPr>
                <w:rFonts w:ascii="Arial" w:cs="Arial" w:eastAsia="Arial" w:hAnsi="Arial"/>
                <w:sz w:val="18"/>
                <w:szCs w:val="18"/>
                <w:color w:val="0000EE"/>
              </w:rPr>
              <w:t>Item 16.</w:t>
            </w:r>
          </w:p>
        </w:tc>
        <w:tc>
          <w:tcPr>
            <w:tcW w:w="7540" w:type="dxa"/>
            <w:vAlign w:val="bottom"/>
            <w:gridSpan w:val="26"/>
          </w:tcPr>
          <w:p>
            <w:pPr>
              <w:spacing w:after="0" w:line="176" w:lineRule="exact"/>
              <w:rPr>
                <w:sz w:val="20"/>
                <w:szCs w:val="20"/>
                <w:color w:val="auto"/>
              </w:rPr>
            </w:pPr>
            <w:r>
              <w:rPr>
                <w:rFonts w:ascii="Arial" w:cs="Arial" w:eastAsia="Arial" w:hAnsi="Arial"/>
                <w:sz w:val="18"/>
                <w:szCs w:val="18"/>
                <w:color w:val="0000EE"/>
              </w:rPr>
              <w:t>From 10-K Summary</w:t>
            </w:r>
          </w:p>
        </w:tc>
        <w:tc>
          <w:tcPr>
            <w:tcW w:w="380" w:type="dxa"/>
            <w:vAlign w:val="bottom"/>
          </w:tcPr>
          <w:p>
            <w:pPr>
              <w:jc w:val="right"/>
              <w:spacing w:after="0" w:line="176" w:lineRule="exact"/>
              <w:rPr>
                <w:sz w:val="20"/>
                <w:szCs w:val="20"/>
                <w:color w:val="auto"/>
              </w:rPr>
            </w:pPr>
            <w:r>
              <w:rPr>
                <w:rFonts w:ascii="Arial" w:cs="Arial" w:eastAsia="Arial" w:hAnsi="Arial"/>
                <w:sz w:val="18"/>
                <w:szCs w:val="18"/>
                <w:color w:val="auto"/>
              </w:rPr>
              <w:t>78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540" w:type="dxa"/>
            <w:vAlign w:val="bottom"/>
            <w:gridSpan w:val="26"/>
            <w:shd w:val="clear" w:color="auto" w:fill="CCEEFF"/>
          </w:tcPr>
          <w:p>
            <w:pPr>
              <w:spacing w:after="0" w:line="176" w:lineRule="exact"/>
              <w:rPr>
                <w:sz w:val="20"/>
                <w:szCs w:val="20"/>
                <w:color w:val="auto"/>
              </w:rPr>
            </w:pPr>
            <w:r>
              <w:rPr>
                <w:rFonts w:ascii="Arial" w:cs="Arial" w:eastAsia="Arial" w:hAnsi="Arial"/>
                <w:sz w:val="18"/>
                <w:szCs w:val="18"/>
                <w:color w:val="0000EE"/>
              </w:rPr>
              <w:t>Exhibit Index</w:t>
            </w:r>
          </w:p>
        </w:tc>
        <w:tc>
          <w:tcPr>
            <w:tcW w:w="3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980" w:type="dxa"/>
            <w:vAlign w:val="bottom"/>
            <w:tcBorders>
              <w:top w:val="single" w:sz="8" w:color="0000EE"/>
            </w:tcBorders>
            <w:gridSpan w:val="6"/>
          </w:tcPr>
          <w:p>
            <w:pPr>
              <w:spacing w:after="0" w:line="176" w:lineRule="exact"/>
              <w:rPr>
                <w:sz w:val="20"/>
                <w:szCs w:val="20"/>
                <w:color w:val="auto"/>
              </w:rPr>
            </w:pPr>
            <w:r>
              <w:rPr>
                <w:rFonts w:ascii="Arial" w:cs="Arial" w:eastAsia="Arial" w:hAnsi="Arial"/>
                <w:sz w:val="18"/>
                <w:szCs w:val="18"/>
                <w:color w:val="0000EE"/>
              </w:rPr>
              <w:t>Signatures</w:t>
            </w:r>
          </w:p>
        </w:tc>
        <w:tc>
          <w:tcPr>
            <w:tcW w:w="6560" w:type="dxa"/>
            <w:vAlign w:val="bottom"/>
            <w:tcBorders>
              <w:top w:val="single" w:sz="8" w:color="CCEEFF"/>
            </w:tcBorders>
            <w:gridSpan w:val="20"/>
          </w:tcPr>
          <w:p>
            <w:pPr>
              <w:spacing w:after="0"/>
              <w:rPr>
                <w:sz w:val="15"/>
                <w:szCs w:val="15"/>
                <w:color w:val="auto"/>
              </w:rPr>
            </w:pPr>
          </w:p>
        </w:tc>
        <w:tc>
          <w:tcPr>
            <w:tcW w:w="3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82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 w:right="539" w:firstLine="324"/>
        <w:spacing w:after="0" w:line="277" w:lineRule="auto"/>
        <w:rPr>
          <w:sz w:val="20"/>
          <w:szCs w:val="20"/>
          <w:color w:val="auto"/>
        </w:rPr>
      </w:pPr>
      <w:r>
        <w:rPr>
          <w:rFonts w:ascii="Arial" w:cs="Arial" w:eastAsia="Arial" w:hAnsi="Arial"/>
          <w:sz w:val="18"/>
          <w:szCs w:val="18"/>
          <w:i w:val="1"/>
          <w:iCs w:val="1"/>
          <w:color w:val="auto"/>
        </w:rPr>
        <w:t>We use the terms, “EPM,</w:t>
      </w:r>
      <w:r>
        <w:rPr>
          <w:rFonts w:ascii="Arial" w:cs="Arial" w:eastAsia="Arial" w:hAnsi="Arial"/>
          <w:sz w:val="18"/>
          <w:szCs w:val="18"/>
          <w:color w:val="auto"/>
        </w:rPr>
        <w:t>”</w:t>
      </w:r>
      <w:r>
        <w:rPr>
          <w:rFonts w:ascii="Arial" w:cs="Arial" w:eastAsia="Arial" w:hAnsi="Arial"/>
          <w:sz w:val="18"/>
          <w:szCs w:val="18"/>
          <w:i w:val="1"/>
          <w:iCs w:val="1"/>
          <w:color w:val="auto"/>
        </w:rPr>
        <w:t xml:space="preserve"> “Company,</w:t>
      </w:r>
      <w:r>
        <w:rPr>
          <w:rFonts w:ascii="Arial" w:cs="Arial" w:eastAsia="Arial" w:hAnsi="Arial"/>
          <w:sz w:val="18"/>
          <w:szCs w:val="18"/>
          <w:color w:val="auto"/>
        </w:rPr>
        <w:t>”</w:t>
      </w:r>
      <w:r>
        <w:rPr>
          <w:rFonts w:ascii="Arial" w:cs="Arial" w:eastAsia="Arial" w:hAnsi="Arial"/>
          <w:sz w:val="18"/>
          <w:szCs w:val="18"/>
          <w:i w:val="1"/>
          <w:iCs w:val="1"/>
          <w:color w:val="auto"/>
        </w:rPr>
        <w:t xml:space="preserve"> “we,</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w:t>
      </w:r>
      <w:r>
        <w:rPr>
          <w:rFonts w:ascii="Arial" w:cs="Arial" w:eastAsia="Arial" w:hAnsi="Arial"/>
          <w:sz w:val="18"/>
          <w:szCs w:val="18"/>
          <w:i w:val="1"/>
          <w:iCs w:val="1"/>
          <w:color w:val="auto"/>
        </w:rPr>
        <w:t xml:space="preserve"> and “our</w:t>
      </w:r>
      <w:r>
        <w:rPr>
          <w:rFonts w:ascii="Arial" w:cs="Arial" w:eastAsia="Arial" w:hAnsi="Arial"/>
          <w:sz w:val="18"/>
          <w:szCs w:val="18"/>
          <w:color w:val="auto"/>
        </w:rPr>
        <w:t>”</w:t>
      </w:r>
      <w:r>
        <w:rPr>
          <w:rFonts w:ascii="Arial" w:cs="Arial" w:eastAsia="Arial" w:hAnsi="Arial"/>
          <w:sz w:val="18"/>
          <w:szCs w:val="18"/>
          <w:i w:val="1"/>
          <w:iCs w:val="1"/>
          <w:color w:val="auto"/>
        </w:rPr>
        <w:t xml:space="preserve"> to refer to Evolution Petroleum Corporation, and unless the context otherwise requires, its wholly-owned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60" w:right="139" w:firstLine="324"/>
        <w:spacing w:after="0" w:line="271" w:lineRule="auto"/>
        <w:rPr>
          <w:sz w:val="20"/>
          <w:szCs w:val="20"/>
          <w:color w:val="auto"/>
        </w:rPr>
      </w:pPr>
      <w:r>
        <w:rPr>
          <w:rFonts w:ascii="Arial" w:cs="Arial" w:eastAsia="Arial" w:hAnsi="Arial"/>
          <w:sz w:val="17"/>
          <w:szCs w:val="17"/>
          <w:color w:val="auto"/>
        </w:rPr>
        <w:t>This Form 10-K and the information referenced herein contains forward-looking statements within the meaning of the Private Securities Litigations Reform Act of 1995, Section 27A of the Securities Act of 1933 and Section 21E of the Securities Exchange Act of 1934. All statements, except for statements of historical fact, are forward-looking statements. The words “plan,” “expect,” “project,” “estimate,” “may,” “assume,” “believe,” “anticipate,” “intend,” “budget,” “forecast,” “predict” and other similar expressions are intended to identify forward-looking statements, although not all forward-looking statements contain such identifying words or phrases. These statements appear in a number of places and include statements regarding our plans, beliefs or current expectations, including the plans, beliefs and expectations of our officers and directors, which may include, but are not limited to, the following:</w:t>
      </w:r>
    </w:p>
    <w:p>
      <w:pPr>
        <w:spacing w:after="0" w:line="178" w:lineRule="exact"/>
        <w:rPr>
          <w:sz w:val="20"/>
          <w:szCs w:val="20"/>
          <w:color w:val="auto"/>
        </w:rPr>
      </w:pPr>
    </w:p>
    <w:p>
      <w:pPr>
        <w:ind w:left="1040" w:right="319" w:hanging="315"/>
        <w:spacing w:after="0" w:line="258"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of plans, strategies and objectives, including anticipated development activity and capital spending;</w:t>
      </w:r>
    </w:p>
    <w:p>
      <w:pPr>
        <w:spacing w:after="0" w:line="1" w:lineRule="exact"/>
        <w:rPr>
          <w:rFonts w:ascii="Arial" w:cs="Arial" w:eastAsia="Arial" w:hAnsi="Arial"/>
          <w:sz w:val="18"/>
          <w:szCs w:val="18"/>
          <w:color w:val="auto"/>
        </w:rPr>
      </w:pPr>
    </w:p>
    <w:p>
      <w:pPr>
        <w:ind w:left="1040" w:right="799" w:hanging="315"/>
        <w:spacing w:after="0" w:line="250"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capital allocation strategy, capital structure, anticipated sources of funding, growth in long-term shareholder value and ability to preserve balance sheet strength;</w:t>
      </w: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benefits of our multi-basin portfolio, including operational and commodity flexibility;</w:t>
      </w:r>
    </w:p>
    <w:p>
      <w:pPr>
        <w:spacing w:after="0" w:line="9" w:lineRule="exact"/>
        <w:rPr>
          <w:rFonts w:ascii="Arial" w:cs="Arial" w:eastAsia="Arial" w:hAnsi="Arial"/>
          <w:sz w:val="18"/>
          <w:szCs w:val="18"/>
          <w:color w:val="auto"/>
        </w:rPr>
      </w:pPr>
    </w:p>
    <w:p>
      <w:pPr>
        <w:ind w:left="1040" w:right="259" w:hanging="315"/>
        <w:spacing w:after="0" w:line="250"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maximize cash flow and the application of excess cash flows to pay dividends and repurchase shares pursuant to our share repurchase program;</w:t>
      </w: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of our oil, natural gas and NGLs production and commodity mix;</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oil, natural gas and NGL prices;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drilling and completions activity;</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of our oil, natural gas and NGL reserves and recoverable quantities;</w:t>
      </w:r>
    </w:p>
    <w:p>
      <w:pPr>
        <w:spacing w:after="0" w:line="9" w:lineRule="exact"/>
        <w:rPr>
          <w:rFonts w:ascii="Arial" w:cs="Arial" w:eastAsia="Arial" w:hAnsi="Arial"/>
          <w:sz w:val="18"/>
          <w:szCs w:val="18"/>
          <w:color w:val="auto"/>
        </w:rPr>
      </w:pPr>
    </w:p>
    <w:p>
      <w:pPr>
        <w:ind w:left="1040" w:right="339" w:hanging="315"/>
        <w:spacing w:after="0" w:line="250"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credit facilities and other sources of liquidity to meet financial obligations throughout commodity price cycles;</w:t>
      </w:r>
    </w:p>
    <w:p>
      <w:pPr>
        <w:ind w:left="1040" w:right="679" w:hanging="315"/>
        <w:spacing w:after="0" w:line="250"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limitations on our ability to obtain funding based on environmental, social, and corporate governance (“ESG”) performance;</w:t>
      </w: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interest expense;</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debt and financial ratios, finance growth and comply with financial covenants;</w:t>
      </w:r>
    </w:p>
    <w:p>
      <w:pPr>
        <w:spacing w:after="0" w:line="9" w:lineRule="exact"/>
        <w:rPr>
          <w:rFonts w:ascii="Arial" w:cs="Arial" w:eastAsia="Arial" w:hAnsi="Arial"/>
          <w:sz w:val="18"/>
          <w:szCs w:val="18"/>
          <w:color w:val="auto"/>
        </w:rPr>
      </w:pPr>
    </w:p>
    <w:p>
      <w:pPr>
        <w:ind w:left="1040" w:right="119" w:hanging="315"/>
        <w:spacing w:after="0" w:line="250"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and outcomes of risk management programs, including exposure to commodity price and interest rate fluctuations, the volume of oil and natural gas production hedged, and the markets or physical sales locations hedged;</w:t>
      </w:r>
    </w:p>
    <w:p>
      <w:pPr>
        <w:spacing w:after="0" w:line="1"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changes in federal, state, provincial and local, rules and regulations;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anticipated compliance with current or proposed environmental requirements, including the costs thereof;</w:t>
      </w:r>
    </w:p>
    <w:p>
      <w:pPr>
        <w:spacing w:after="0" w:line="32" w:lineRule="exact"/>
        <w:rPr>
          <w:rFonts w:ascii="Arial" w:cs="Arial" w:eastAsia="Arial" w:hAnsi="Arial"/>
          <w:sz w:val="16"/>
          <w:szCs w:val="16"/>
          <w:color w:val="auto"/>
        </w:rPr>
      </w:pPr>
    </w:p>
    <w:p>
      <w:pPr>
        <w:ind w:left="1040" w:hanging="315"/>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possible impact of greenhouse gas (“GHG”) emissions limitations and renewable energy incentives;</w:t>
      </w:r>
    </w:p>
    <w:p>
      <w:pPr>
        <w:spacing w:after="0" w:line="20" w:lineRule="exact"/>
        <w:rPr>
          <w:rFonts w:ascii="Arial" w:cs="Arial" w:eastAsia="Arial" w:hAnsi="Arial"/>
          <w:sz w:val="17"/>
          <w:szCs w:val="17"/>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adequacy of provisions for abandonment and site reclamation costs;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operational and financial flexibility, discipline and ability to respond to evolving market conditions;</w:t>
      </w:r>
    </w:p>
    <w:p>
      <w:pPr>
        <w:spacing w:after="0" w:line="20" w:lineRule="exact"/>
        <w:rPr>
          <w:rFonts w:ascii="Arial" w:cs="Arial" w:eastAsia="Arial" w:hAnsi="Arial"/>
          <w:sz w:val="17"/>
          <w:szCs w:val="17"/>
          <w:color w:val="auto"/>
        </w:rPr>
      </w:pPr>
    </w:p>
    <w:p>
      <w:pPr>
        <w:ind w:left="1040" w:right="219" w:hanging="315"/>
        <w:spacing w:after="0" w:line="250"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declaration and payment of future dividends and any anticipated repurchase of our outstanding common shares;</w:t>
      </w: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provision for taxes and legal claims;</w:t>
      </w:r>
    </w:p>
    <w:p>
      <w:pPr>
        <w:spacing w:after="0" w:line="9" w:lineRule="exact"/>
        <w:rPr>
          <w:rFonts w:ascii="Arial" w:cs="Arial" w:eastAsia="Arial" w:hAnsi="Arial"/>
          <w:sz w:val="18"/>
          <w:szCs w:val="18"/>
          <w:color w:val="auto"/>
        </w:rPr>
      </w:pPr>
    </w:p>
    <w:p>
      <w:pPr>
        <w:ind w:left="1040" w:right="1159" w:hanging="315"/>
        <w:spacing w:after="0" w:line="250"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cost inflation and expected cost structures, including expected operating, transportation, processing and labor expenses;</w:t>
      </w:r>
    </w:p>
    <w:p>
      <w:pPr>
        <w:ind w:left="1040" w:right="519" w:hanging="315"/>
        <w:spacing w:after="0" w:line="250"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competitiveness relative to our peers, including with respect to capital, materials, people, assets and production;</w:t>
      </w: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oil, natural gas and NGL inventories and global demand for oil, natural gas and NGLs;</w:t>
      </w:r>
    </w:p>
    <w:p>
      <w:pPr>
        <w:spacing w:after="0" w:line="9" w:lineRule="exact"/>
        <w:rPr>
          <w:rFonts w:ascii="Arial" w:cs="Arial" w:eastAsia="Arial" w:hAnsi="Arial"/>
          <w:sz w:val="18"/>
          <w:szCs w:val="18"/>
          <w:color w:val="auto"/>
        </w:rPr>
      </w:pPr>
    </w:p>
    <w:p>
      <w:pPr>
        <w:ind w:left="1040" w:right="259" w:hanging="315"/>
        <w:spacing w:after="0" w:line="250"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outlook of the oil and natural gas industry generally, including impacts from changes to the geopolitical environment;</w:t>
      </w: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weather events;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staffing levels;</w:t>
      </w:r>
    </w:p>
    <w:p>
      <w:pPr>
        <w:spacing w:after="0" w:line="9" w:lineRule="exact"/>
        <w:rPr>
          <w:rFonts w:ascii="Arial" w:cs="Arial" w:eastAsia="Arial" w:hAnsi="Arial"/>
          <w:sz w:val="18"/>
          <w:szCs w:val="18"/>
          <w:color w:val="auto"/>
        </w:rPr>
      </w:pPr>
    </w:p>
    <w:p>
      <w:pPr>
        <w:ind w:left="1040" w:right="99" w:hanging="315"/>
        <w:spacing w:after="0" w:line="250"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payments related to our commitments, obligations and contingencies, and the ability to satisfy the same; and</w:t>
      </w: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possible impact of accounting and tax pronouncements, rule changes and standards.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324"/>
        <w:spacing w:after="0" w:line="259" w:lineRule="auto"/>
        <w:rPr>
          <w:sz w:val="20"/>
          <w:szCs w:val="20"/>
          <w:color w:val="auto"/>
        </w:rPr>
      </w:pPr>
      <w:r>
        <w:rPr>
          <w:rFonts w:ascii="Arial" w:cs="Arial" w:eastAsia="Arial" w:hAnsi="Arial"/>
          <w:sz w:val="18"/>
          <w:szCs w:val="18"/>
          <w:color w:val="auto"/>
        </w:rPr>
        <w:t>Readers are cautioned against unduly relying on forward-looking statements which, by their nature, involve numerous assumptions and are subject to both known and unknown risks and uncertainties (many of which are beyond our control) that may cause actual events or results to differ materially and/or adversely from those expressed or implied, which include, but are not limited to the following assumptions:</w:t>
      </w:r>
    </w:p>
    <w:p>
      <w:pPr>
        <w:spacing w:after="0" w:line="187" w:lineRule="exact"/>
        <w:rPr>
          <w:sz w:val="20"/>
          <w:szCs w:val="20"/>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commodity prices and basis differentials;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access credit facilities and shelf prospectuses;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assumptions contained in our corporate guidance;</w:t>
      </w:r>
    </w:p>
    <w:p>
      <w:pPr>
        <w:spacing w:after="0" w:line="9" w:lineRule="exact"/>
        <w:rPr>
          <w:rFonts w:ascii="Arial" w:cs="Arial" w:eastAsia="Arial" w:hAnsi="Arial"/>
          <w:sz w:val="18"/>
          <w:szCs w:val="18"/>
          <w:color w:val="auto"/>
        </w:rPr>
      </w:pPr>
    </w:p>
    <w:p>
      <w:pPr>
        <w:ind w:left="1040" w:right="619" w:hanging="315"/>
        <w:spacing w:after="0" w:line="250"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of attractive commodity or financial hedges and the enforceability of risk management programs;</w:t>
      </w:r>
    </w:p>
    <w:p>
      <w:pPr>
        <w:ind w:left="1040" w:right="179" w:hanging="315"/>
        <w:spacing w:after="0" w:line="250"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that counterparties will fulfill their obligations pursuant to gathering, processing, transportation and marketing agreements;</w:t>
      </w: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access to adequate gathering, transportation, processing and storage facilities;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assumed tax, royalty and regulatory regimes;</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and projections made in light of, and generally consistent with, our historical experience and our perception of historical industry trends; and</w:t>
      </w: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other assumptions contained herein.</w:t>
      </w:r>
    </w:p>
    <w:p>
      <w:pPr>
        <w:spacing w:after="0" w:line="211" w:lineRule="exact"/>
        <w:rPr>
          <w:sz w:val="20"/>
          <w:szCs w:val="20"/>
          <w:color w:val="auto"/>
        </w:rPr>
      </w:pPr>
    </w:p>
    <w:p>
      <w:pPr>
        <w:ind w:left="60" w:right="179" w:firstLine="324"/>
        <w:spacing w:after="0" w:line="257" w:lineRule="auto"/>
        <w:rPr>
          <w:sz w:val="20"/>
          <w:szCs w:val="20"/>
          <w:color w:val="auto"/>
        </w:rPr>
      </w:pPr>
      <w:r>
        <w:rPr>
          <w:rFonts w:ascii="Arial" w:cs="Arial" w:eastAsia="Arial" w:hAnsi="Arial"/>
          <w:sz w:val="18"/>
          <w:szCs w:val="18"/>
          <w:color w:val="auto"/>
        </w:rPr>
        <w:t>Readers are cautioned that the assumptions, risks and uncertainties referenced above, and in the other documents incorporated herein by reference (if any), are not exhaustive. Although we believe the expectations represented by our forward-looking statements are reasonable based on the information available to us as of the date such statements are made, forward-looking statements are only predictions and statements of our current beliefs and there can be no assurance that such expectations will prove to be correct.</w:t>
      </w:r>
    </w:p>
    <w:p>
      <w:pPr>
        <w:spacing w:after="0" w:line="188"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 xml:space="preserve">When considering any forward-looking statement, the reader should keep in mind the risk factors that could cause our actual results to differ materially from those contained in any forward-looking statement. Important factors that could cause actual results to differ materially from those in the forward-looking statements herein include the timing and extent of changes in commodity prices for oil, natural gas and NGLs, operating risks and other risk factors as described in Part I,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and elsewhere in this report and as also may be described from time to time in future reports we file with the Securities and Exchange Commission. Readers should also consider such information in conjunction with our consolidated financial statements and related notes and Item 7. </w:t>
      </w:r>
      <w:r>
        <w:rPr>
          <w:rFonts w:ascii="Arial" w:cs="Arial" w:eastAsia="Arial" w:hAnsi="Arial"/>
          <w:sz w:val="17"/>
          <w:szCs w:val="17"/>
          <w:i w:val="1"/>
          <w:iCs w:val="1"/>
          <w:color w:val="auto"/>
        </w:rPr>
        <w:t>Management’s Discussion and Analysis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Condition and Results of Operations </w:t>
      </w:r>
      <w:r>
        <w:rPr>
          <w:rFonts w:ascii="Arial" w:cs="Arial" w:eastAsia="Arial" w:hAnsi="Arial"/>
          <w:sz w:val="17"/>
          <w:szCs w:val="17"/>
          <w:color w:val="auto"/>
        </w:rPr>
        <w:t>in this report. There also may be other factors that we cannot anticipate or that are not</w:t>
      </w:r>
      <w:r>
        <w:rPr>
          <w:rFonts w:ascii="Arial" w:cs="Arial" w:eastAsia="Arial" w:hAnsi="Arial"/>
          <w:sz w:val="17"/>
          <w:szCs w:val="17"/>
          <w:i w:val="1"/>
          <w:iCs w:val="1"/>
          <w:color w:val="auto"/>
        </w:rPr>
        <w:t xml:space="preserve"> </w:t>
      </w:r>
      <w:r>
        <w:rPr>
          <w:rFonts w:ascii="Arial" w:cs="Arial" w:eastAsia="Arial" w:hAnsi="Arial"/>
          <w:sz w:val="17"/>
          <w:szCs w:val="17"/>
          <w:color w:val="auto"/>
        </w:rPr>
        <w:t>described in this report, generally because we do not currently perceive them to be material. Such factors could cause results to differ materially from our expectations.</w:t>
      </w:r>
    </w:p>
    <w:p>
      <w:pPr>
        <w:spacing w:after="0" w:line="185" w:lineRule="exact"/>
        <w:rPr>
          <w:sz w:val="20"/>
          <w:szCs w:val="20"/>
          <w:color w:val="auto"/>
        </w:rPr>
      </w:pPr>
    </w:p>
    <w:p>
      <w:pPr>
        <w:ind w:left="60" w:right="479" w:firstLine="324"/>
        <w:spacing w:after="0" w:line="286" w:lineRule="auto"/>
        <w:rPr>
          <w:sz w:val="20"/>
          <w:szCs w:val="20"/>
          <w:color w:val="auto"/>
        </w:rPr>
      </w:pPr>
      <w:r>
        <w:rPr>
          <w:rFonts w:ascii="Arial" w:cs="Arial" w:eastAsia="Arial" w:hAnsi="Arial"/>
          <w:sz w:val="17"/>
          <w:szCs w:val="17"/>
          <w:color w:val="auto"/>
        </w:rPr>
        <w:t>Forward-looking statements speak only as of the date they are made, and we do not undertake to update these statements other than as required by law. Readers are advised, however, to review any further disclosures we make on related subjects in our filings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340" w:type="dxa"/>
            <w:vAlign w:val="bottom"/>
            <w:gridSpan w:val="2"/>
          </w:tcPr>
          <w:p>
            <w:pPr>
              <w:ind w:left="300"/>
              <w:spacing w:after="0"/>
              <w:rPr>
                <w:sz w:val="20"/>
                <w:szCs w:val="20"/>
                <w:color w:val="auto"/>
              </w:rPr>
            </w:pPr>
            <w:r>
              <w:rPr>
                <w:rFonts w:ascii="Arial" w:cs="Arial" w:eastAsia="Arial" w:hAnsi="Arial"/>
                <w:sz w:val="18"/>
                <w:szCs w:val="18"/>
                <w:b w:val="1"/>
                <w:bCs w:val="1"/>
                <w:color w:val="auto"/>
              </w:rPr>
              <w:t>GLOSSARY OF SELECTED PETROLEUM INDUSTRY TERMS</w:t>
            </w:r>
          </w:p>
        </w:tc>
      </w:tr>
      <w:tr>
        <w:trPr>
          <w:trHeight w:val="378"/>
        </w:trPr>
        <w:tc>
          <w:tcPr>
            <w:tcW w:w="1400" w:type="dxa"/>
            <w:vAlign w:val="bottom"/>
          </w:tcPr>
          <w:p>
            <w:pPr>
              <w:spacing w:after="0"/>
              <w:rPr>
                <w:sz w:val="20"/>
                <w:szCs w:val="20"/>
                <w:color w:val="auto"/>
              </w:rPr>
            </w:pPr>
            <w:r>
              <w:rPr>
                <w:rFonts w:ascii="Arial" w:cs="Arial" w:eastAsia="Arial" w:hAnsi="Arial"/>
                <w:sz w:val="14"/>
                <w:szCs w:val="14"/>
                <w:b w:val="1"/>
                <w:bCs w:val="1"/>
                <w:color w:val="auto"/>
              </w:rPr>
              <w:t>Term</w:t>
            </w:r>
          </w:p>
        </w:tc>
        <w:tc>
          <w:tcPr>
            <w:tcW w:w="7500" w:type="dxa"/>
            <w:vAlign w:val="bottom"/>
            <w:gridSpan w:val="3"/>
          </w:tcPr>
          <w:p>
            <w:pPr>
              <w:ind w:left="140"/>
              <w:spacing w:after="0"/>
              <w:rPr>
                <w:sz w:val="20"/>
                <w:szCs w:val="20"/>
                <w:color w:val="auto"/>
              </w:rPr>
            </w:pPr>
            <w:r>
              <w:rPr>
                <w:rFonts w:ascii="Arial" w:cs="Arial" w:eastAsia="Arial" w:hAnsi="Arial"/>
                <w:sz w:val="14"/>
                <w:szCs w:val="14"/>
                <w:b w:val="1"/>
                <w:bCs w:val="1"/>
                <w:color w:val="auto"/>
              </w:rPr>
              <w:t>Definition</w:t>
            </w:r>
          </w:p>
        </w:tc>
      </w:tr>
      <w:tr>
        <w:trPr>
          <w:trHeight w:val="209"/>
        </w:trPr>
        <w:tc>
          <w:tcPr>
            <w:tcW w:w="1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Bbl</w:t>
            </w:r>
          </w:p>
        </w:tc>
        <w:tc>
          <w:tcPr>
            <w:tcW w:w="160" w:type="dxa"/>
            <w:vAlign w:val="bottom"/>
            <w:tcBorders>
              <w:top w:val="single" w:sz="8" w:color="CCEEFF"/>
            </w:tcBorders>
            <w:shd w:val="clear" w:color="auto" w:fill="CCEEFF"/>
          </w:tcPr>
          <w:p>
            <w:pPr>
              <w:spacing w:after="0"/>
              <w:rPr>
                <w:sz w:val="18"/>
                <w:szCs w:val="18"/>
                <w:color w:val="auto"/>
              </w:rPr>
            </w:pPr>
          </w:p>
        </w:tc>
        <w:tc>
          <w:tcPr>
            <w:tcW w:w="7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One stock tank barrel, of 42 U.S. gallons of liquid volume, used herein in reference to oil or NGL.</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b w:val="1"/>
                <w:bCs w:val="1"/>
                <w:color w:val="auto"/>
              </w:rPr>
              <w:t>BCF</w:t>
            </w:r>
          </w:p>
        </w:tc>
        <w:tc>
          <w:tcPr>
            <w:tcW w:w="7500" w:type="dxa"/>
            <w:vAlign w:val="bottom"/>
            <w:gridSpan w:val="3"/>
          </w:tcPr>
          <w:p>
            <w:pPr>
              <w:ind w:left="140"/>
              <w:spacing w:after="0"/>
              <w:rPr>
                <w:sz w:val="20"/>
                <w:szCs w:val="20"/>
                <w:color w:val="auto"/>
              </w:rPr>
            </w:pPr>
            <w:r>
              <w:rPr>
                <w:rFonts w:ascii="Arial" w:cs="Arial" w:eastAsia="Arial" w:hAnsi="Arial"/>
                <w:sz w:val="18"/>
                <w:szCs w:val="18"/>
                <w:color w:val="auto"/>
              </w:rPr>
              <w:t>Billion cubic feet.</w:t>
            </w:r>
          </w:p>
        </w:tc>
      </w:tr>
      <w:tr>
        <w:trPr>
          <w:trHeight w:val="216"/>
        </w:trPr>
        <w:tc>
          <w:tcPr>
            <w:tcW w:w="1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BFPD</w:t>
            </w:r>
          </w:p>
        </w:tc>
        <w:tc>
          <w:tcPr>
            <w:tcW w:w="75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Barrels of fluid per day.</w:t>
            </w:r>
          </w:p>
        </w:tc>
      </w:tr>
      <w:tr>
        <w:trPr>
          <w:trHeight w:val="202"/>
        </w:trPr>
        <w:tc>
          <w:tcPr>
            <w:tcW w:w="1400" w:type="dxa"/>
            <w:vAlign w:val="bottom"/>
          </w:tcPr>
          <w:p>
            <w:pPr>
              <w:spacing w:after="0" w:line="201" w:lineRule="exact"/>
              <w:rPr>
                <w:sz w:val="20"/>
                <w:szCs w:val="20"/>
                <w:color w:val="auto"/>
              </w:rPr>
            </w:pPr>
            <w:r>
              <w:rPr>
                <w:rFonts w:ascii="Arial" w:cs="Arial" w:eastAsia="Arial" w:hAnsi="Arial"/>
                <w:sz w:val="18"/>
                <w:szCs w:val="18"/>
                <w:b w:val="1"/>
                <w:bCs w:val="1"/>
                <w:color w:val="auto"/>
              </w:rPr>
              <w:t>BOE</w:t>
            </w:r>
          </w:p>
        </w:tc>
        <w:tc>
          <w:tcPr>
            <w:tcW w:w="7500" w:type="dxa"/>
            <w:vAlign w:val="bottom"/>
            <w:gridSpan w:val="3"/>
          </w:tcPr>
          <w:p>
            <w:pPr>
              <w:ind w:left="140"/>
              <w:spacing w:after="0" w:line="201" w:lineRule="exact"/>
              <w:rPr>
                <w:sz w:val="20"/>
                <w:szCs w:val="20"/>
                <w:color w:val="auto"/>
              </w:rPr>
            </w:pPr>
            <w:r>
              <w:rPr>
                <w:rFonts w:ascii="Arial" w:cs="Arial" w:eastAsia="Arial" w:hAnsi="Arial"/>
                <w:sz w:val="18"/>
                <w:szCs w:val="18"/>
                <w:color w:val="auto"/>
                <w:w w:val="94"/>
              </w:rPr>
              <w:t>Barrels of oil equivalent. BOE is calculated by converting six MCF of natural gas and 42 gallons of</w:t>
            </w:r>
          </w:p>
        </w:tc>
      </w:tr>
      <w:tr>
        <w:trPr>
          <w:trHeight w:val="216"/>
        </w:trPr>
        <w:tc>
          <w:tcPr>
            <w:tcW w:w="1400" w:type="dxa"/>
            <w:vAlign w:val="bottom"/>
          </w:tcPr>
          <w:p>
            <w:pPr>
              <w:spacing w:after="0"/>
              <w:rPr>
                <w:sz w:val="18"/>
                <w:szCs w:val="18"/>
                <w:color w:val="auto"/>
              </w:rPr>
            </w:pPr>
          </w:p>
        </w:tc>
        <w:tc>
          <w:tcPr>
            <w:tcW w:w="7500" w:type="dxa"/>
            <w:vAlign w:val="bottom"/>
            <w:gridSpan w:val="3"/>
          </w:tcPr>
          <w:p>
            <w:pPr>
              <w:ind w:left="140"/>
              <w:spacing w:after="0"/>
              <w:rPr>
                <w:sz w:val="20"/>
                <w:szCs w:val="20"/>
                <w:color w:val="auto"/>
              </w:rPr>
            </w:pPr>
            <w:r>
              <w:rPr>
                <w:rFonts w:ascii="Arial" w:cs="Arial" w:eastAsia="Arial" w:hAnsi="Arial"/>
                <w:sz w:val="18"/>
                <w:szCs w:val="18"/>
                <w:color w:val="auto"/>
                <w:w w:val="97"/>
              </w:rPr>
              <w:t>NGL to one Bbl of oil which reflects energy equivalence and not price equivalence. Natural gas</w:t>
            </w:r>
          </w:p>
        </w:tc>
      </w:tr>
      <w:tr>
        <w:trPr>
          <w:trHeight w:val="216"/>
        </w:trPr>
        <w:tc>
          <w:tcPr>
            <w:tcW w:w="1400" w:type="dxa"/>
            <w:vAlign w:val="bottom"/>
          </w:tcPr>
          <w:p>
            <w:pPr>
              <w:spacing w:after="0"/>
              <w:rPr>
                <w:sz w:val="18"/>
                <w:szCs w:val="18"/>
                <w:color w:val="auto"/>
              </w:rPr>
            </w:pPr>
          </w:p>
        </w:tc>
        <w:tc>
          <w:tcPr>
            <w:tcW w:w="7500" w:type="dxa"/>
            <w:vAlign w:val="bottom"/>
            <w:gridSpan w:val="3"/>
          </w:tcPr>
          <w:p>
            <w:pPr>
              <w:ind w:left="140"/>
              <w:spacing w:after="0"/>
              <w:rPr>
                <w:sz w:val="20"/>
                <w:szCs w:val="20"/>
                <w:color w:val="auto"/>
              </w:rPr>
            </w:pPr>
            <w:r>
              <w:rPr>
                <w:rFonts w:ascii="Arial" w:cs="Arial" w:eastAsia="Arial" w:hAnsi="Arial"/>
                <w:sz w:val="18"/>
                <w:szCs w:val="18"/>
                <w:color w:val="auto"/>
                <w:w w:val="95"/>
              </w:rPr>
              <w:t>prices per MCF and NGL prices per barrel often differ significantly from the equivalent amount of</w:t>
            </w:r>
          </w:p>
        </w:tc>
      </w:tr>
      <w:tr>
        <w:trPr>
          <w:trHeight w:val="230"/>
        </w:trPr>
        <w:tc>
          <w:tcPr>
            <w:tcW w:w="1400" w:type="dxa"/>
            <w:vAlign w:val="bottom"/>
          </w:tcPr>
          <w:p>
            <w:pPr>
              <w:spacing w:after="0"/>
              <w:rPr>
                <w:sz w:val="20"/>
                <w:szCs w:val="20"/>
                <w:color w:val="auto"/>
              </w:rPr>
            </w:pPr>
          </w:p>
        </w:tc>
        <w:tc>
          <w:tcPr>
            <w:tcW w:w="7500" w:type="dxa"/>
            <w:vAlign w:val="bottom"/>
            <w:gridSpan w:val="3"/>
          </w:tcPr>
          <w:p>
            <w:pPr>
              <w:ind w:left="140"/>
              <w:spacing w:after="0"/>
              <w:rPr>
                <w:sz w:val="20"/>
                <w:szCs w:val="20"/>
                <w:color w:val="auto"/>
              </w:rPr>
            </w:pPr>
            <w:r>
              <w:rPr>
                <w:rFonts w:ascii="Arial" w:cs="Arial" w:eastAsia="Arial" w:hAnsi="Arial"/>
                <w:sz w:val="18"/>
                <w:szCs w:val="18"/>
                <w:color w:val="auto"/>
              </w:rPr>
              <w:t>oil.</w:t>
            </w:r>
          </w:p>
        </w:tc>
      </w:tr>
      <w:tr>
        <w:trPr>
          <w:trHeight w:val="216"/>
        </w:trPr>
        <w:tc>
          <w:tcPr>
            <w:tcW w:w="1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BOEPD</w:t>
            </w:r>
          </w:p>
        </w:tc>
        <w:tc>
          <w:tcPr>
            <w:tcW w:w="75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Barrels of oil equivalent per day.</w:t>
            </w:r>
          </w:p>
        </w:tc>
      </w:tr>
      <w:tr>
        <w:trPr>
          <w:trHeight w:val="216"/>
        </w:trPr>
        <w:tc>
          <w:tcPr>
            <w:tcW w:w="1400" w:type="dxa"/>
            <w:vAlign w:val="bottom"/>
          </w:tcPr>
          <w:p>
            <w:pPr>
              <w:spacing w:after="0"/>
              <w:rPr>
                <w:sz w:val="20"/>
                <w:szCs w:val="20"/>
                <w:color w:val="auto"/>
              </w:rPr>
            </w:pPr>
            <w:r>
              <w:rPr>
                <w:rFonts w:ascii="Arial" w:cs="Arial" w:eastAsia="Arial" w:hAnsi="Arial"/>
                <w:sz w:val="18"/>
                <w:szCs w:val="18"/>
                <w:b w:val="1"/>
                <w:bCs w:val="1"/>
                <w:color w:val="auto"/>
              </w:rPr>
              <w:t>BOPD</w:t>
            </w:r>
          </w:p>
        </w:tc>
        <w:tc>
          <w:tcPr>
            <w:tcW w:w="7500" w:type="dxa"/>
            <w:vAlign w:val="bottom"/>
            <w:gridSpan w:val="3"/>
          </w:tcPr>
          <w:p>
            <w:pPr>
              <w:ind w:left="140"/>
              <w:spacing w:after="0"/>
              <w:rPr>
                <w:sz w:val="20"/>
                <w:szCs w:val="20"/>
                <w:color w:val="auto"/>
              </w:rPr>
            </w:pPr>
            <w:r>
              <w:rPr>
                <w:rFonts w:ascii="Arial" w:cs="Arial" w:eastAsia="Arial" w:hAnsi="Arial"/>
                <w:sz w:val="18"/>
                <w:szCs w:val="18"/>
                <w:color w:val="auto"/>
              </w:rPr>
              <w:t>Barrels of oil per day.</w:t>
            </w:r>
          </w:p>
        </w:tc>
      </w:tr>
      <w:tr>
        <w:trPr>
          <w:trHeight w:val="202"/>
        </w:trPr>
        <w:tc>
          <w:tcPr>
            <w:tcW w:w="14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BTU</w:t>
            </w:r>
          </w:p>
        </w:tc>
        <w:tc>
          <w:tcPr>
            <w:tcW w:w="750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w w:val="92"/>
              </w:rPr>
              <w:t>British Thermal Unit: the standard unit of measure of energy equal to the amount of heat required to</w:t>
            </w:r>
          </w:p>
        </w:tc>
      </w:tr>
      <w:tr>
        <w:trPr>
          <w:trHeight w:val="216"/>
        </w:trPr>
        <w:tc>
          <w:tcPr>
            <w:tcW w:w="1400" w:type="dxa"/>
            <w:vAlign w:val="bottom"/>
            <w:shd w:val="clear" w:color="auto" w:fill="CCEEFF"/>
          </w:tcPr>
          <w:p>
            <w:pPr>
              <w:spacing w:after="0"/>
              <w:rPr>
                <w:sz w:val="18"/>
                <w:szCs w:val="18"/>
                <w:color w:val="auto"/>
              </w:rPr>
            </w:pPr>
          </w:p>
        </w:tc>
        <w:tc>
          <w:tcPr>
            <w:tcW w:w="75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5"/>
              </w:rPr>
              <w:t>raise the temperature of one pound of water one degree Fahrenheit. One Bbl of oil is typically 5.8</w:t>
            </w:r>
          </w:p>
        </w:tc>
      </w:tr>
      <w:tr>
        <w:trPr>
          <w:trHeight w:val="230"/>
        </w:trPr>
        <w:tc>
          <w:tcPr>
            <w:tcW w:w="1400" w:type="dxa"/>
            <w:vAlign w:val="bottom"/>
            <w:shd w:val="clear" w:color="auto" w:fill="CCEEFF"/>
          </w:tcPr>
          <w:p>
            <w:pPr>
              <w:spacing w:after="0"/>
              <w:rPr>
                <w:sz w:val="20"/>
                <w:szCs w:val="20"/>
                <w:color w:val="auto"/>
              </w:rPr>
            </w:pPr>
          </w:p>
        </w:tc>
        <w:tc>
          <w:tcPr>
            <w:tcW w:w="75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MMBTU, and one standard MCF is typically one MMBTU.</w:t>
            </w:r>
          </w:p>
        </w:tc>
      </w:tr>
      <w:tr>
        <w:trPr>
          <w:trHeight w:val="215"/>
        </w:trPr>
        <w:tc>
          <w:tcPr>
            <w:tcW w:w="1400" w:type="dxa"/>
            <w:vAlign w:val="bottom"/>
          </w:tcPr>
          <w:p>
            <w:pPr>
              <w:spacing w:after="0" w:line="216" w:lineRule="exact"/>
              <w:rPr>
                <w:sz w:val="20"/>
                <w:szCs w:val="20"/>
                <w:color w:val="auto"/>
              </w:rPr>
            </w:pPr>
            <w:r>
              <w:rPr>
                <w:rFonts w:ascii="Arial" w:cs="Arial" w:eastAsia="Arial" w:hAnsi="Arial"/>
                <w:sz w:val="17"/>
                <w:szCs w:val="17"/>
                <w:b w:val="1"/>
                <w:bCs w:val="1"/>
                <w:color w:val="auto"/>
              </w:rPr>
              <w:t>CO</w:t>
            </w:r>
            <w:r>
              <w:rPr>
                <w:rFonts w:ascii="Arial" w:cs="Arial" w:eastAsia="Arial" w:hAnsi="Arial"/>
                <w:sz w:val="24"/>
                <w:szCs w:val="24"/>
                <w:b w:val="1"/>
                <w:bCs w:val="1"/>
                <w:color w:val="auto"/>
                <w:vertAlign w:val="subscript"/>
              </w:rPr>
              <w:t>2</w:t>
            </w:r>
          </w:p>
        </w:tc>
        <w:tc>
          <w:tcPr>
            <w:tcW w:w="7500" w:type="dxa"/>
            <w:vAlign w:val="bottom"/>
            <w:gridSpan w:val="3"/>
          </w:tcPr>
          <w:p>
            <w:pPr>
              <w:ind w:left="140"/>
              <w:spacing w:after="0" w:line="216" w:lineRule="exact"/>
              <w:rPr>
                <w:sz w:val="20"/>
                <w:szCs w:val="20"/>
                <w:color w:val="auto"/>
              </w:rPr>
            </w:pPr>
            <w:r>
              <w:rPr>
                <w:rFonts w:ascii="Arial" w:cs="Arial" w:eastAsia="Arial" w:hAnsi="Arial"/>
                <w:sz w:val="17"/>
                <w:szCs w:val="17"/>
                <w:color w:val="auto"/>
              </w:rPr>
              <w:t>Carbon Dioxide; CO</w:t>
            </w:r>
            <w:r>
              <w:rPr>
                <w:rFonts w:ascii="Arial" w:cs="Arial" w:eastAsia="Arial" w:hAnsi="Arial"/>
                <w:sz w:val="24"/>
                <w:szCs w:val="24"/>
                <w:color w:val="auto"/>
                <w:vertAlign w:val="subscript"/>
              </w:rPr>
              <w:t>2</w:t>
            </w:r>
            <w:r>
              <w:rPr>
                <w:rFonts w:ascii="Arial" w:cs="Arial" w:eastAsia="Arial" w:hAnsi="Arial"/>
                <w:sz w:val="17"/>
                <w:szCs w:val="17"/>
                <w:color w:val="auto"/>
              </w:rPr>
              <w:t xml:space="preserve"> is a gas that can be found in naturally occurring reservoirs, is typically</w:t>
            </w:r>
          </w:p>
        </w:tc>
      </w:tr>
      <w:tr>
        <w:trPr>
          <w:trHeight w:val="216"/>
        </w:trPr>
        <w:tc>
          <w:tcPr>
            <w:tcW w:w="1400" w:type="dxa"/>
            <w:vAlign w:val="bottom"/>
          </w:tcPr>
          <w:p>
            <w:pPr>
              <w:spacing w:after="0"/>
              <w:rPr>
                <w:sz w:val="18"/>
                <w:szCs w:val="18"/>
                <w:color w:val="auto"/>
              </w:rPr>
            </w:pPr>
          </w:p>
        </w:tc>
        <w:tc>
          <w:tcPr>
            <w:tcW w:w="7500" w:type="dxa"/>
            <w:vAlign w:val="bottom"/>
            <w:gridSpan w:val="3"/>
          </w:tcPr>
          <w:p>
            <w:pPr>
              <w:ind w:left="140"/>
              <w:spacing w:after="0"/>
              <w:rPr>
                <w:sz w:val="20"/>
                <w:szCs w:val="20"/>
                <w:color w:val="auto"/>
              </w:rPr>
            </w:pPr>
            <w:r>
              <w:rPr>
                <w:rFonts w:ascii="Arial" w:cs="Arial" w:eastAsia="Arial" w:hAnsi="Arial"/>
                <w:sz w:val="18"/>
                <w:szCs w:val="18"/>
                <w:color w:val="auto"/>
                <w:w w:val="93"/>
              </w:rPr>
              <w:t>associated with ancient volcanoes, is a major byproduct from manufacturing and power production,</w:t>
            </w:r>
          </w:p>
        </w:tc>
      </w:tr>
      <w:tr>
        <w:trPr>
          <w:trHeight w:val="230"/>
        </w:trPr>
        <w:tc>
          <w:tcPr>
            <w:tcW w:w="1400" w:type="dxa"/>
            <w:vAlign w:val="bottom"/>
          </w:tcPr>
          <w:p>
            <w:pPr>
              <w:spacing w:after="0"/>
              <w:rPr>
                <w:sz w:val="20"/>
                <w:szCs w:val="20"/>
                <w:color w:val="auto"/>
              </w:rPr>
            </w:pPr>
          </w:p>
        </w:tc>
        <w:tc>
          <w:tcPr>
            <w:tcW w:w="7500" w:type="dxa"/>
            <w:vAlign w:val="bottom"/>
            <w:gridSpan w:val="3"/>
          </w:tcPr>
          <w:p>
            <w:pPr>
              <w:ind w:left="140"/>
              <w:spacing w:after="0"/>
              <w:rPr>
                <w:sz w:val="20"/>
                <w:szCs w:val="20"/>
                <w:color w:val="auto"/>
              </w:rPr>
            </w:pPr>
            <w:r>
              <w:rPr>
                <w:rFonts w:ascii="Arial" w:cs="Arial" w:eastAsia="Arial" w:hAnsi="Arial"/>
                <w:sz w:val="18"/>
                <w:szCs w:val="18"/>
                <w:color w:val="auto"/>
              </w:rPr>
              <w:t>and is also utilized in enhanced oil recovery through injection into an oil reservoir.</w:t>
            </w:r>
          </w:p>
        </w:tc>
      </w:tr>
      <w:tr>
        <w:trPr>
          <w:trHeight w:val="198"/>
        </w:trPr>
        <w:tc>
          <w:tcPr>
            <w:tcW w:w="14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Developed</w:t>
            </w:r>
          </w:p>
        </w:tc>
        <w:tc>
          <w:tcPr>
            <w:tcW w:w="7500" w:type="dxa"/>
            <w:vAlign w:val="bottom"/>
            <w:gridSpan w:val="3"/>
            <w:shd w:val="clear" w:color="auto" w:fill="CCEEFF"/>
          </w:tcPr>
          <w:p>
            <w:pPr>
              <w:ind w:left="140"/>
              <w:spacing w:after="0" w:line="198" w:lineRule="exact"/>
              <w:rPr>
                <w:sz w:val="20"/>
                <w:szCs w:val="20"/>
                <w:color w:val="auto"/>
              </w:rPr>
            </w:pPr>
            <w:r>
              <w:rPr>
                <w:rFonts w:ascii="Arial" w:cs="Arial" w:eastAsia="Arial" w:hAnsi="Arial"/>
                <w:sz w:val="18"/>
                <w:szCs w:val="18"/>
                <w:color w:val="auto"/>
                <w:w w:val="99"/>
              </w:rPr>
              <w:t>Reserves of any category that can be expected to be recovered (i) through existing wells with</w:t>
            </w:r>
          </w:p>
        </w:tc>
      </w:tr>
      <w:tr>
        <w:trPr>
          <w:trHeight w:val="220"/>
        </w:trPr>
        <w:tc>
          <w:tcPr>
            <w:tcW w:w="1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Reserves</w:t>
            </w:r>
          </w:p>
        </w:tc>
        <w:tc>
          <w:tcPr>
            <w:tcW w:w="75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existing equipment and operating methods or in which the cost of the required equipment is</w:t>
            </w:r>
          </w:p>
        </w:tc>
      </w:tr>
      <w:tr>
        <w:trPr>
          <w:trHeight w:val="216"/>
        </w:trPr>
        <w:tc>
          <w:tcPr>
            <w:tcW w:w="1400" w:type="dxa"/>
            <w:vAlign w:val="bottom"/>
            <w:shd w:val="clear" w:color="auto" w:fill="CCEEFF"/>
          </w:tcPr>
          <w:p>
            <w:pPr>
              <w:spacing w:after="0"/>
              <w:rPr>
                <w:sz w:val="18"/>
                <w:szCs w:val="18"/>
                <w:color w:val="auto"/>
              </w:rPr>
            </w:pPr>
          </w:p>
        </w:tc>
        <w:tc>
          <w:tcPr>
            <w:tcW w:w="75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4"/>
              </w:rPr>
              <w:t>relatively minor compared to the cost of a new well; and (ii) through installed extraction equipment</w:t>
            </w:r>
          </w:p>
        </w:tc>
      </w:tr>
      <w:tr>
        <w:trPr>
          <w:trHeight w:val="216"/>
        </w:trPr>
        <w:tc>
          <w:tcPr>
            <w:tcW w:w="1400" w:type="dxa"/>
            <w:vAlign w:val="bottom"/>
            <w:shd w:val="clear" w:color="auto" w:fill="CCEEFF"/>
          </w:tcPr>
          <w:p>
            <w:pPr>
              <w:spacing w:after="0"/>
              <w:rPr>
                <w:sz w:val="18"/>
                <w:szCs w:val="18"/>
                <w:color w:val="auto"/>
              </w:rPr>
            </w:pPr>
          </w:p>
        </w:tc>
        <w:tc>
          <w:tcPr>
            <w:tcW w:w="75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2"/>
              </w:rPr>
              <w:t>and infrastructure operational at the time of the reserves estimate if the extraction is by a means not</w:t>
            </w:r>
          </w:p>
        </w:tc>
      </w:tr>
      <w:tr>
        <w:trPr>
          <w:trHeight w:val="230"/>
        </w:trPr>
        <w:tc>
          <w:tcPr>
            <w:tcW w:w="1400" w:type="dxa"/>
            <w:vAlign w:val="bottom"/>
            <w:shd w:val="clear" w:color="auto" w:fill="CCEEFF"/>
          </w:tcPr>
          <w:p>
            <w:pPr>
              <w:spacing w:after="0"/>
              <w:rPr>
                <w:sz w:val="20"/>
                <w:szCs w:val="20"/>
                <w:color w:val="auto"/>
              </w:rPr>
            </w:pPr>
          </w:p>
        </w:tc>
        <w:tc>
          <w:tcPr>
            <w:tcW w:w="75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involving a well.</w:t>
            </w:r>
          </w:p>
        </w:tc>
      </w:tr>
      <w:tr>
        <w:trPr>
          <w:trHeight w:val="202"/>
        </w:trPr>
        <w:tc>
          <w:tcPr>
            <w:tcW w:w="1400" w:type="dxa"/>
            <w:vAlign w:val="bottom"/>
          </w:tcPr>
          <w:p>
            <w:pPr>
              <w:spacing w:after="0" w:line="201" w:lineRule="exact"/>
              <w:rPr>
                <w:sz w:val="20"/>
                <w:szCs w:val="20"/>
                <w:color w:val="auto"/>
              </w:rPr>
            </w:pPr>
            <w:r>
              <w:rPr>
                <w:rFonts w:ascii="Arial" w:cs="Arial" w:eastAsia="Arial" w:hAnsi="Arial"/>
                <w:sz w:val="18"/>
                <w:szCs w:val="18"/>
                <w:b w:val="1"/>
                <w:bCs w:val="1"/>
                <w:color w:val="auto"/>
              </w:rPr>
              <w:t>EOR</w:t>
            </w:r>
          </w:p>
        </w:tc>
        <w:tc>
          <w:tcPr>
            <w:tcW w:w="7500" w:type="dxa"/>
            <w:vAlign w:val="bottom"/>
            <w:gridSpan w:val="3"/>
          </w:tcPr>
          <w:p>
            <w:pPr>
              <w:ind w:left="140"/>
              <w:spacing w:after="0" w:line="201" w:lineRule="exact"/>
              <w:rPr>
                <w:sz w:val="20"/>
                <w:szCs w:val="20"/>
                <w:color w:val="auto"/>
              </w:rPr>
            </w:pPr>
            <w:r>
              <w:rPr>
                <w:rFonts w:ascii="Arial" w:cs="Arial" w:eastAsia="Arial" w:hAnsi="Arial"/>
                <w:sz w:val="18"/>
                <w:szCs w:val="18"/>
                <w:color w:val="auto"/>
                <w:w w:val="99"/>
              </w:rPr>
              <w:t>Enhanced Oil Recovery; projects that involve injection of heat, miscible or immiscible gas, or</w:t>
            </w:r>
          </w:p>
        </w:tc>
      </w:tr>
      <w:tr>
        <w:trPr>
          <w:trHeight w:val="216"/>
        </w:trPr>
        <w:tc>
          <w:tcPr>
            <w:tcW w:w="1400" w:type="dxa"/>
            <w:vAlign w:val="bottom"/>
          </w:tcPr>
          <w:p>
            <w:pPr>
              <w:spacing w:after="0"/>
              <w:rPr>
                <w:sz w:val="18"/>
                <w:szCs w:val="18"/>
                <w:color w:val="auto"/>
              </w:rPr>
            </w:pPr>
          </w:p>
        </w:tc>
        <w:tc>
          <w:tcPr>
            <w:tcW w:w="7500" w:type="dxa"/>
            <w:vAlign w:val="bottom"/>
            <w:gridSpan w:val="3"/>
          </w:tcPr>
          <w:p>
            <w:pPr>
              <w:ind w:left="140"/>
              <w:spacing w:after="0"/>
              <w:rPr>
                <w:sz w:val="20"/>
                <w:szCs w:val="20"/>
                <w:color w:val="auto"/>
              </w:rPr>
            </w:pPr>
            <w:r>
              <w:rPr>
                <w:rFonts w:ascii="Arial" w:cs="Arial" w:eastAsia="Arial" w:hAnsi="Arial"/>
                <w:sz w:val="18"/>
                <w:szCs w:val="18"/>
                <w:color w:val="auto"/>
                <w:w w:val="98"/>
              </w:rPr>
              <w:t>chemicals into oil reservoirs, typically following full primary and secondary waterflood recovery</w:t>
            </w:r>
          </w:p>
        </w:tc>
      </w:tr>
      <w:tr>
        <w:trPr>
          <w:trHeight w:val="230"/>
        </w:trPr>
        <w:tc>
          <w:tcPr>
            <w:tcW w:w="1400" w:type="dxa"/>
            <w:vAlign w:val="bottom"/>
          </w:tcPr>
          <w:p>
            <w:pPr>
              <w:spacing w:after="0"/>
              <w:rPr>
                <w:sz w:val="20"/>
                <w:szCs w:val="20"/>
                <w:color w:val="auto"/>
              </w:rPr>
            </w:pPr>
          </w:p>
        </w:tc>
        <w:tc>
          <w:tcPr>
            <w:tcW w:w="7500" w:type="dxa"/>
            <w:vAlign w:val="bottom"/>
            <w:gridSpan w:val="3"/>
          </w:tcPr>
          <w:p>
            <w:pPr>
              <w:ind w:left="140"/>
              <w:spacing w:after="0"/>
              <w:rPr>
                <w:sz w:val="20"/>
                <w:szCs w:val="20"/>
                <w:color w:val="auto"/>
              </w:rPr>
            </w:pPr>
            <w:r>
              <w:rPr>
                <w:rFonts w:ascii="Arial" w:cs="Arial" w:eastAsia="Arial" w:hAnsi="Arial"/>
                <w:sz w:val="18"/>
                <w:szCs w:val="18"/>
                <w:color w:val="auto"/>
              </w:rPr>
              <w:t>efforts, in order to gain incremental recovery of oil from the reservoir.</w:t>
            </w:r>
          </w:p>
        </w:tc>
      </w:tr>
      <w:tr>
        <w:trPr>
          <w:trHeight w:val="202"/>
        </w:trPr>
        <w:tc>
          <w:tcPr>
            <w:tcW w:w="14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Field</w:t>
            </w:r>
          </w:p>
        </w:tc>
        <w:tc>
          <w:tcPr>
            <w:tcW w:w="750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w w:val="96"/>
              </w:rPr>
              <w:t>An area consisting of a single reservoir or multiple reservoirs all grouped within or related to the</w:t>
            </w:r>
          </w:p>
        </w:tc>
      </w:tr>
      <w:tr>
        <w:trPr>
          <w:trHeight w:val="230"/>
        </w:trPr>
        <w:tc>
          <w:tcPr>
            <w:tcW w:w="1400" w:type="dxa"/>
            <w:vAlign w:val="bottom"/>
            <w:shd w:val="clear" w:color="auto" w:fill="CCEEFF"/>
          </w:tcPr>
          <w:p>
            <w:pPr>
              <w:spacing w:after="0"/>
              <w:rPr>
                <w:sz w:val="20"/>
                <w:szCs w:val="20"/>
                <w:color w:val="auto"/>
              </w:rPr>
            </w:pPr>
          </w:p>
        </w:tc>
        <w:tc>
          <w:tcPr>
            <w:tcW w:w="75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same geologic structural features and/or stratigraphic features.*</w:t>
            </w:r>
          </w:p>
        </w:tc>
      </w:tr>
      <w:tr>
        <w:trPr>
          <w:trHeight w:val="202"/>
        </w:trPr>
        <w:tc>
          <w:tcPr>
            <w:tcW w:w="1400" w:type="dxa"/>
            <w:vAlign w:val="bottom"/>
          </w:tcPr>
          <w:p>
            <w:pPr>
              <w:spacing w:after="0" w:line="201" w:lineRule="exact"/>
              <w:rPr>
                <w:sz w:val="20"/>
                <w:szCs w:val="20"/>
                <w:color w:val="auto"/>
              </w:rPr>
            </w:pPr>
            <w:r>
              <w:rPr>
                <w:rFonts w:ascii="Arial" w:cs="Arial" w:eastAsia="Arial" w:hAnsi="Arial"/>
                <w:sz w:val="18"/>
                <w:szCs w:val="18"/>
                <w:b w:val="1"/>
                <w:bCs w:val="1"/>
                <w:color w:val="auto"/>
              </w:rPr>
              <w:t>Farmout</w:t>
            </w:r>
          </w:p>
        </w:tc>
        <w:tc>
          <w:tcPr>
            <w:tcW w:w="7500" w:type="dxa"/>
            <w:vAlign w:val="bottom"/>
            <w:gridSpan w:val="3"/>
          </w:tcPr>
          <w:p>
            <w:pPr>
              <w:ind w:left="140"/>
              <w:spacing w:after="0" w:line="201" w:lineRule="exact"/>
              <w:rPr>
                <w:sz w:val="20"/>
                <w:szCs w:val="20"/>
                <w:color w:val="auto"/>
              </w:rPr>
            </w:pPr>
            <w:r>
              <w:rPr>
                <w:rFonts w:ascii="Arial" w:cs="Arial" w:eastAsia="Arial" w:hAnsi="Arial"/>
                <w:sz w:val="18"/>
                <w:szCs w:val="18"/>
                <w:color w:val="auto"/>
                <w:w w:val="93"/>
              </w:rPr>
              <w:t>Sale or transfer of all or part of the operating rights from the working interest owner (the assignor or</w:t>
            </w:r>
          </w:p>
        </w:tc>
      </w:tr>
      <w:tr>
        <w:trPr>
          <w:trHeight w:val="216"/>
        </w:trPr>
        <w:tc>
          <w:tcPr>
            <w:tcW w:w="1400" w:type="dxa"/>
            <w:vAlign w:val="bottom"/>
          </w:tcPr>
          <w:p>
            <w:pPr>
              <w:spacing w:after="0"/>
              <w:rPr>
                <w:sz w:val="18"/>
                <w:szCs w:val="18"/>
                <w:color w:val="auto"/>
              </w:rPr>
            </w:pPr>
          </w:p>
        </w:tc>
        <w:tc>
          <w:tcPr>
            <w:tcW w:w="7500" w:type="dxa"/>
            <w:vAlign w:val="bottom"/>
            <w:gridSpan w:val="3"/>
          </w:tcPr>
          <w:p>
            <w:pPr>
              <w:ind w:left="140"/>
              <w:spacing w:after="0"/>
              <w:rPr>
                <w:sz w:val="20"/>
                <w:szCs w:val="20"/>
                <w:color w:val="auto"/>
              </w:rPr>
            </w:pPr>
            <w:r>
              <w:rPr>
                <w:rFonts w:ascii="Arial" w:cs="Arial" w:eastAsia="Arial" w:hAnsi="Arial"/>
                <w:sz w:val="18"/>
                <w:szCs w:val="18"/>
                <w:color w:val="auto"/>
              </w:rPr>
              <w:t>farmout party), to an assignee (the farm-in party) who assumes all or some of the burden of</w:t>
            </w:r>
          </w:p>
        </w:tc>
      </w:tr>
      <w:tr>
        <w:trPr>
          <w:trHeight w:val="216"/>
        </w:trPr>
        <w:tc>
          <w:tcPr>
            <w:tcW w:w="1400" w:type="dxa"/>
            <w:vAlign w:val="bottom"/>
          </w:tcPr>
          <w:p>
            <w:pPr>
              <w:spacing w:after="0"/>
              <w:rPr>
                <w:sz w:val="18"/>
                <w:szCs w:val="18"/>
                <w:color w:val="auto"/>
              </w:rPr>
            </w:pPr>
          </w:p>
        </w:tc>
        <w:tc>
          <w:tcPr>
            <w:tcW w:w="7500" w:type="dxa"/>
            <w:vAlign w:val="bottom"/>
            <w:gridSpan w:val="3"/>
          </w:tcPr>
          <w:p>
            <w:pPr>
              <w:ind w:left="140"/>
              <w:spacing w:after="0"/>
              <w:rPr>
                <w:sz w:val="20"/>
                <w:szCs w:val="20"/>
                <w:color w:val="auto"/>
              </w:rPr>
            </w:pPr>
            <w:r>
              <w:rPr>
                <w:rFonts w:ascii="Arial" w:cs="Arial" w:eastAsia="Arial" w:hAnsi="Arial"/>
                <w:sz w:val="18"/>
                <w:szCs w:val="18"/>
                <w:color w:val="auto"/>
                <w:w w:val="93"/>
              </w:rPr>
              <w:t>development, in return for an interest in the property. The assignor may retain an overriding royalty</w:t>
            </w:r>
          </w:p>
        </w:tc>
      </w:tr>
      <w:tr>
        <w:trPr>
          <w:trHeight w:val="216"/>
        </w:trPr>
        <w:tc>
          <w:tcPr>
            <w:tcW w:w="1400" w:type="dxa"/>
            <w:vAlign w:val="bottom"/>
          </w:tcPr>
          <w:p>
            <w:pPr>
              <w:spacing w:after="0"/>
              <w:rPr>
                <w:sz w:val="18"/>
                <w:szCs w:val="18"/>
                <w:color w:val="auto"/>
              </w:rPr>
            </w:pPr>
          </w:p>
        </w:tc>
        <w:tc>
          <w:tcPr>
            <w:tcW w:w="7500" w:type="dxa"/>
            <w:vAlign w:val="bottom"/>
            <w:gridSpan w:val="3"/>
          </w:tcPr>
          <w:p>
            <w:pPr>
              <w:ind w:left="140"/>
              <w:spacing w:after="0"/>
              <w:rPr>
                <w:sz w:val="20"/>
                <w:szCs w:val="20"/>
                <w:color w:val="auto"/>
              </w:rPr>
            </w:pPr>
            <w:r>
              <w:rPr>
                <w:rFonts w:ascii="Arial" w:cs="Arial" w:eastAsia="Arial" w:hAnsi="Arial"/>
                <w:sz w:val="18"/>
                <w:szCs w:val="18"/>
                <w:color w:val="auto"/>
                <w:w w:val="89"/>
              </w:rPr>
              <w:t>or any other type of interest. For Federal tax purposes, a farmout may be structured as a sale or lease,</w:t>
            </w:r>
          </w:p>
        </w:tc>
      </w:tr>
      <w:tr>
        <w:trPr>
          <w:trHeight w:val="230"/>
        </w:trPr>
        <w:tc>
          <w:tcPr>
            <w:tcW w:w="1400" w:type="dxa"/>
            <w:vAlign w:val="bottom"/>
          </w:tcPr>
          <w:p>
            <w:pPr>
              <w:spacing w:after="0"/>
              <w:rPr>
                <w:sz w:val="20"/>
                <w:szCs w:val="20"/>
                <w:color w:val="auto"/>
              </w:rPr>
            </w:pPr>
          </w:p>
        </w:tc>
        <w:tc>
          <w:tcPr>
            <w:tcW w:w="7500" w:type="dxa"/>
            <w:vAlign w:val="bottom"/>
            <w:gridSpan w:val="3"/>
          </w:tcPr>
          <w:p>
            <w:pPr>
              <w:ind w:left="140"/>
              <w:spacing w:after="0"/>
              <w:rPr>
                <w:sz w:val="20"/>
                <w:szCs w:val="20"/>
                <w:color w:val="auto"/>
              </w:rPr>
            </w:pPr>
            <w:r>
              <w:rPr>
                <w:rFonts w:ascii="Arial" w:cs="Arial" w:eastAsia="Arial" w:hAnsi="Arial"/>
                <w:sz w:val="18"/>
                <w:szCs w:val="18"/>
                <w:color w:val="auto"/>
              </w:rPr>
              <w:t>depending on the specific rights and carved out interests retained by the assignor.</w:t>
            </w:r>
          </w:p>
        </w:tc>
      </w:tr>
      <w:tr>
        <w:trPr>
          <w:trHeight w:val="198"/>
        </w:trPr>
        <w:tc>
          <w:tcPr>
            <w:tcW w:w="14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Gross Acres or</w:t>
            </w:r>
          </w:p>
        </w:tc>
        <w:tc>
          <w:tcPr>
            <w:tcW w:w="7500" w:type="dxa"/>
            <w:vAlign w:val="bottom"/>
            <w:gridSpan w:val="3"/>
            <w:shd w:val="clear" w:color="auto" w:fill="CCEEFF"/>
          </w:tcPr>
          <w:p>
            <w:pPr>
              <w:ind w:left="140"/>
              <w:spacing w:after="0" w:line="198" w:lineRule="exact"/>
              <w:rPr>
                <w:sz w:val="20"/>
                <w:szCs w:val="20"/>
                <w:color w:val="auto"/>
              </w:rPr>
            </w:pPr>
            <w:r>
              <w:rPr>
                <w:rFonts w:ascii="Arial" w:cs="Arial" w:eastAsia="Arial" w:hAnsi="Arial"/>
                <w:sz w:val="18"/>
                <w:szCs w:val="18"/>
                <w:color w:val="auto"/>
                <w:w w:val="98"/>
              </w:rPr>
              <w:t>The total acres or number of wells participated in, regardless of the amount of working interest</w:t>
            </w:r>
          </w:p>
        </w:tc>
      </w:tr>
      <w:tr>
        <w:trPr>
          <w:trHeight w:val="234"/>
        </w:trPr>
        <w:tc>
          <w:tcPr>
            <w:tcW w:w="1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Wells</w:t>
            </w:r>
          </w:p>
        </w:tc>
        <w:tc>
          <w:tcPr>
            <w:tcW w:w="75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owned.</w:t>
            </w:r>
          </w:p>
        </w:tc>
      </w:tr>
      <w:tr>
        <w:trPr>
          <w:trHeight w:val="198"/>
        </w:trPr>
        <w:tc>
          <w:tcPr>
            <w:tcW w:w="1400" w:type="dxa"/>
            <w:vAlign w:val="bottom"/>
          </w:tcPr>
          <w:p>
            <w:pPr>
              <w:spacing w:after="0" w:line="198" w:lineRule="exact"/>
              <w:rPr>
                <w:sz w:val="20"/>
                <w:szCs w:val="20"/>
                <w:color w:val="auto"/>
              </w:rPr>
            </w:pPr>
            <w:r>
              <w:rPr>
                <w:rFonts w:ascii="Arial" w:cs="Arial" w:eastAsia="Arial" w:hAnsi="Arial"/>
                <w:sz w:val="18"/>
                <w:szCs w:val="18"/>
                <w:b w:val="1"/>
                <w:bCs w:val="1"/>
                <w:color w:val="auto"/>
              </w:rPr>
              <w:t>Horizontal</w:t>
            </w:r>
          </w:p>
        </w:tc>
        <w:tc>
          <w:tcPr>
            <w:tcW w:w="7500" w:type="dxa"/>
            <w:vAlign w:val="bottom"/>
            <w:gridSpan w:val="3"/>
          </w:tcPr>
          <w:p>
            <w:pPr>
              <w:ind w:left="140"/>
              <w:spacing w:after="0" w:line="198" w:lineRule="exact"/>
              <w:rPr>
                <w:sz w:val="20"/>
                <w:szCs w:val="20"/>
                <w:color w:val="auto"/>
              </w:rPr>
            </w:pPr>
            <w:r>
              <w:rPr>
                <w:rFonts w:ascii="Arial" w:cs="Arial" w:eastAsia="Arial" w:hAnsi="Arial"/>
                <w:sz w:val="18"/>
                <w:szCs w:val="18"/>
                <w:color w:val="auto"/>
                <w:w w:val="96"/>
              </w:rPr>
              <w:t>Involves drilling horizontally out from a vertical well-bore, thereby potentially increasing the area</w:t>
            </w:r>
          </w:p>
        </w:tc>
      </w:tr>
      <w:tr>
        <w:trPr>
          <w:trHeight w:val="234"/>
        </w:trPr>
        <w:tc>
          <w:tcPr>
            <w:tcW w:w="1400" w:type="dxa"/>
            <w:vAlign w:val="bottom"/>
          </w:tcPr>
          <w:p>
            <w:pPr>
              <w:spacing w:after="0"/>
              <w:rPr>
                <w:sz w:val="20"/>
                <w:szCs w:val="20"/>
                <w:color w:val="auto"/>
              </w:rPr>
            </w:pPr>
            <w:r>
              <w:rPr>
                <w:rFonts w:ascii="Arial" w:cs="Arial" w:eastAsia="Arial" w:hAnsi="Arial"/>
                <w:sz w:val="18"/>
                <w:szCs w:val="18"/>
                <w:b w:val="1"/>
                <w:bCs w:val="1"/>
                <w:color w:val="auto"/>
              </w:rPr>
              <w:t>Drilling</w:t>
            </w:r>
          </w:p>
        </w:tc>
        <w:tc>
          <w:tcPr>
            <w:tcW w:w="7500" w:type="dxa"/>
            <w:vAlign w:val="bottom"/>
            <w:gridSpan w:val="3"/>
          </w:tcPr>
          <w:p>
            <w:pPr>
              <w:ind w:left="140"/>
              <w:spacing w:after="0"/>
              <w:rPr>
                <w:sz w:val="20"/>
                <w:szCs w:val="20"/>
                <w:color w:val="auto"/>
              </w:rPr>
            </w:pPr>
            <w:r>
              <w:rPr>
                <w:rFonts w:ascii="Arial" w:cs="Arial" w:eastAsia="Arial" w:hAnsi="Arial"/>
                <w:sz w:val="18"/>
                <w:szCs w:val="18"/>
                <w:color w:val="auto"/>
              </w:rPr>
              <w:t>and reach of the well-bore that is in contact with the reservoir.</w:t>
            </w:r>
          </w:p>
        </w:tc>
      </w:tr>
      <w:tr>
        <w:trPr>
          <w:trHeight w:val="198"/>
        </w:trPr>
        <w:tc>
          <w:tcPr>
            <w:tcW w:w="14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Hydraulic</w:t>
            </w:r>
          </w:p>
        </w:tc>
        <w:tc>
          <w:tcPr>
            <w:tcW w:w="7500" w:type="dxa"/>
            <w:vAlign w:val="bottom"/>
            <w:gridSpan w:val="3"/>
            <w:shd w:val="clear" w:color="auto" w:fill="CCEEFF"/>
          </w:tcPr>
          <w:p>
            <w:pPr>
              <w:ind w:left="140"/>
              <w:spacing w:after="0" w:line="198" w:lineRule="exact"/>
              <w:rPr>
                <w:sz w:val="20"/>
                <w:szCs w:val="20"/>
                <w:color w:val="auto"/>
              </w:rPr>
            </w:pPr>
            <w:r>
              <w:rPr>
                <w:rFonts w:ascii="Arial" w:cs="Arial" w:eastAsia="Arial" w:hAnsi="Arial"/>
                <w:sz w:val="18"/>
                <w:szCs w:val="18"/>
                <w:color w:val="auto"/>
                <w:w w:val="98"/>
              </w:rPr>
              <w:t>Involves pumping a fluid with or without particulates into a formation at high pressure, thereby</w:t>
            </w:r>
          </w:p>
        </w:tc>
      </w:tr>
      <w:tr>
        <w:trPr>
          <w:trHeight w:val="220"/>
        </w:trPr>
        <w:tc>
          <w:tcPr>
            <w:tcW w:w="1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Fracturing</w:t>
            </w:r>
          </w:p>
        </w:tc>
        <w:tc>
          <w:tcPr>
            <w:tcW w:w="75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2"/>
              </w:rPr>
              <w:t>creating fractures in the rock and leaving the particulates in the fractures to ensure that the fractures</w:t>
            </w:r>
          </w:p>
        </w:tc>
      </w:tr>
      <w:tr>
        <w:trPr>
          <w:trHeight w:val="230"/>
        </w:trPr>
        <w:tc>
          <w:tcPr>
            <w:tcW w:w="1400" w:type="dxa"/>
            <w:vAlign w:val="bottom"/>
            <w:shd w:val="clear" w:color="auto" w:fill="CCEEFF"/>
          </w:tcPr>
          <w:p>
            <w:pPr>
              <w:spacing w:after="0"/>
              <w:rPr>
                <w:sz w:val="20"/>
                <w:szCs w:val="20"/>
                <w:color w:val="auto"/>
              </w:rPr>
            </w:pPr>
          </w:p>
        </w:tc>
        <w:tc>
          <w:tcPr>
            <w:tcW w:w="75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6"/>
              </w:rPr>
              <w:t>remain open which potentially increases the ability of the reservoir to produce oil or natural gas.</w:t>
            </w:r>
          </w:p>
        </w:tc>
      </w:tr>
      <w:tr>
        <w:trPr>
          <w:trHeight w:val="216"/>
        </w:trPr>
        <w:tc>
          <w:tcPr>
            <w:tcW w:w="1400" w:type="dxa"/>
            <w:vAlign w:val="bottom"/>
          </w:tcPr>
          <w:p>
            <w:pPr>
              <w:spacing w:after="0"/>
              <w:rPr>
                <w:sz w:val="20"/>
                <w:szCs w:val="20"/>
                <w:color w:val="auto"/>
              </w:rPr>
            </w:pPr>
            <w:r>
              <w:rPr>
                <w:rFonts w:ascii="Arial" w:cs="Arial" w:eastAsia="Arial" w:hAnsi="Arial"/>
                <w:sz w:val="18"/>
                <w:szCs w:val="18"/>
                <w:b w:val="1"/>
                <w:bCs w:val="1"/>
                <w:color w:val="auto"/>
              </w:rPr>
              <w:t>LOE</w:t>
            </w:r>
          </w:p>
        </w:tc>
        <w:tc>
          <w:tcPr>
            <w:tcW w:w="7500" w:type="dxa"/>
            <w:vAlign w:val="bottom"/>
            <w:gridSpan w:val="3"/>
          </w:tcPr>
          <w:p>
            <w:pPr>
              <w:ind w:left="140"/>
              <w:spacing w:after="0"/>
              <w:rPr>
                <w:sz w:val="20"/>
                <w:szCs w:val="20"/>
                <w:color w:val="auto"/>
              </w:rPr>
            </w:pPr>
            <w:r>
              <w:rPr>
                <w:rFonts w:ascii="Arial" w:cs="Arial" w:eastAsia="Arial" w:hAnsi="Arial"/>
                <w:sz w:val="18"/>
                <w:szCs w:val="18"/>
                <w:color w:val="auto"/>
              </w:rPr>
              <w:t>Lease Operating Expense(s); a current period expense incurred to operate a well.</w:t>
            </w:r>
          </w:p>
        </w:tc>
      </w:tr>
      <w:tr>
        <w:trPr>
          <w:trHeight w:val="216"/>
        </w:trPr>
        <w:tc>
          <w:tcPr>
            <w:tcW w:w="1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MBBL</w:t>
            </w:r>
          </w:p>
        </w:tc>
        <w:tc>
          <w:tcPr>
            <w:tcW w:w="75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One thousand barrels.</w:t>
            </w:r>
          </w:p>
        </w:tc>
      </w:tr>
      <w:tr>
        <w:trPr>
          <w:trHeight w:val="216"/>
        </w:trPr>
        <w:tc>
          <w:tcPr>
            <w:tcW w:w="1400" w:type="dxa"/>
            <w:vAlign w:val="bottom"/>
          </w:tcPr>
          <w:p>
            <w:pPr>
              <w:spacing w:after="0"/>
              <w:rPr>
                <w:sz w:val="20"/>
                <w:szCs w:val="20"/>
                <w:color w:val="auto"/>
              </w:rPr>
            </w:pPr>
            <w:r>
              <w:rPr>
                <w:rFonts w:ascii="Arial" w:cs="Arial" w:eastAsia="Arial" w:hAnsi="Arial"/>
                <w:sz w:val="18"/>
                <w:szCs w:val="18"/>
                <w:b w:val="1"/>
                <w:bCs w:val="1"/>
                <w:color w:val="auto"/>
              </w:rPr>
              <w:t>MMBBL</w:t>
            </w:r>
          </w:p>
        </w:tc>
        <w:tc>
          <w:tcPr>
            <w:tcW w:w="7500" w:type="dxa"/>
            <w:vAlign w:val="bottom"/>
            <w:gridSpan w:val="3"/>
          </w:tcPr>
          <w:p>
            <w:pPr>
              <w:ind w:left="140"/>
              <w:spacing w:after="0"/>
              <w:rPr>
                <w:sz w:val="20"/>
                <w:szCs w:val="20"/>
                <w:color w:val="auto"/>
              </w:rPr>
            </w:pPr>
            <w:r>
              <w:rPr>
                <w:rFonts w:ascii="Arial" w:cs="Arial" w:eastAsia="Arial" w:hAnsi="Arial"/>
                <w:sz w:val="18"/>
                <w:szCs w:val="18"/>
                <w:color w:val="auto"/>
              </w:rPr>
              <w:t>One million barrels.</w:t>
            </w:r>
          </w:p>
        </w:tc>
      </w:tr>
      <w:tr>
        <w:trPr>
          <w:trHeight w:val="216"/>
        </w:trPr>
        <w:tc>
          <w:tcPr>
            <w:tcW w:w="1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MBOE</w:t>
            </w:r>
          </w:p>
        </w:tc>
        <w:tc>
          <w:tcPr>
            <w:tcW w:w="75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One thousand barrels of oil equivalent.</w:t>
            </w:r>
          </w:p>
        </w:tc>
      </w:tr>
      <w:tr>
        <w:trPr>
          <w:trHeight w:val="216"/>
        </w:trPr>
        <w:tc>
          <w:tcPr>
            <w:tcW w:w="1400" w:type="dxa"/>
            <w:vAlign w:val="bottom"/>
          </w:tcPr>
          <w:p>
            <w:pPr>
              <w:spacing w:after="0"/>
              <w:rPr>
                <w:sz w:val="20"/>
                <w:szCs w:val="20"/>
                <w:color w:val="auto"/>
              </w:rPr>
            </w:pPr>
            <w:r>
              <w:rPr>
                <w:rFonts w:ascii="Arial" w:cs="Arial" w:eastAsia="Arial" w:hAnsi="Arial"/>
                <w:sz w:val="18"/>
                <w:szCs w:val="18"/>
                <w:b w:val="1"/>
                <w:bCs w:val="1"/>
                <w:color w:val="auto"/>
              </w:rPr>
              <w:t>MBOEPD</w:t>
            </w:r>
          </w:p>
        </w:tc>
        <w:tc>
          <w:tcPr>
            <w:tcW w:w="7500" w:type="dxa"/>
            <w:vAlign w:val="bottom"/>
            <w:gridSpan w:val="3"/>
          </w:tcPr>
          <w:p>
            <w:pPr>
              <w:ind w:left="140"/>
              <w:spacing w:after="0"/>
              <w:rPr>
                <w:sz w:val="20"/>
                <w:szCs w:val="20"/>
                <w:color w:val="auto"/>
              </w:rPr>
            </w:pPr>
            <w:r>
              <w:rPr>
                <w:rFonts w:ascii="Arial" w:cs="Arial" w:eastAsia="Arial" w:hAnsi="Arial"/>
                <w:sz w:val="18"/>
                <w:szCs w:val="18"/>
                <w:color w:val="auto"/>
              </w:rPr>
              <w:t>One thousand barrels of oil equivalent per day.</w:t>
            </w:r>
          </w:p>
        </w:tc>
      </w:tr>
      <w:tr>
        <w:trPr>
          <w:trHeight w:val="216"/>
        </w:trPr>
        <w:tc>
          <w:tcPr>
            <w:tcW w:w="1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MMBOE</w:t>
            </w:r>
          </w:p>
        </w:tc>
        <w:tc>
          <w:tcPr>
            <w:tcW w:w="75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One million barrels of oil equivalent.</w:t>
            </w:r>
          </w:p>
        </w:tc>
      </w:tr>
      <w:tr>
        <w:trPr>
          <w:trHeight w:val="202"/>
        </w:trPr>
        <w:tc>
          <w:tcPr>
            <w:tcW w:w="1400" w:type="dxa"/>
            <w:vAlign w:val="bottom"/>
          </w:tcPr>
          <w:p>
            <w:pPr>
              <w:spacing w:after="0" w:line="201" w:lineRule="exact"/>
              <w:rPr>
                <w:sz w:val="20"/>
                <w:szCs w:val="20"/>
                <w:color w:val="auto"/>
              </w:rPr>
            </w:pPr>
            <w:r>
              <w:rPr>
                <w:rFonts w:ascii="Arial" w:cs="Arial" w:eastAsia="Arial" w:hAnsi="Arial"/>
                <w:sz w:val="18"/>
                <w:szCs w:val="18"/>
                <w:b w:val="1"/>
                <w:bCs w:val="1"/>
                <w:color w:val="auto"/>
              </w:rPr>
              <w:t>MCF</w:t>
            </w:r>
          </w:p>
        </w:tc>
        <w:tc>
          <w:tcPr>
            <w:tcW w:w="7500" w:type="dxa"/>
            <w:vAlign w:val="bottom"/>
            <w:gridSpan w:val="3"/>
          </w:tcPr>
          <w:p>
            <w:pPr>
              <w:ind w:left="140"/>
              <w:spacing w:after="0" w:line="201" w:lineRule="exact"/>
              <w:rPr>
                <w:sz w:val="20"/>
                <w:szCs w:val="20"/>
                <w:color w:val="auto"/>
              </w:rPr>
            </w:pPr>
            <w:r>
              <w:rPr>
                <w:rFonts w:ascii="Arial" w:cs="Arial" w:eastAsia="Arial" w:hAnsi="Arial"/>
                <w:sz w:val="18"/>
                <w:szCs w:val="18"/>
                <w:color w:val="auto"/>
                <w:w w:val="90"/>
              </w:rPr>
              <w:t>One thousand cubic feet of natural gas at standard conditions, being approximately sea level pressure</w:t>
            </w:r>
          </w:p>
        </w:tc>
      </w:tr>
      <w:tr>
        <w:trPr>
          <w:trHeight w:val="230"/>
        </w:trPr>
        <w:tc>
          <w:tcPr>
            <w:tcW w:w="1400" w:type="dxa"/>
            <w:vAlign w:val="bottom"/>
          </w:tcPr>
          <w:p>
            <w:pPr>
              <w:spacing w:after="0"/>
              <w:rPr>
                <w:sz w:val="20"/>
                <w:szCs w:val="20"/>
                <w:color w:val="auto"/>
              </w:rPr>
            </w:pPr>
          </w:p>
        </w:tc>
        <w:tc>
          <w:tcPr>
            <w:tcW w:w="7500" w:type="dxa"/>
            <w:vAlign w:val="bottom"/>
            <w:gridSpan w:val="3"/>
          </w:tcPr>
          <w:p>
            <w:pPr>
              <w:ind w:left="140"/>
              <w:spacing w:after="0"/>
              <w:rPr>
                <w:sz w:val="20"/>
                <w:szCs w:val="20"/>
                <w:color w:val="auto"/>
              </w:rPr>
            </w:pPr>
            <w:r>
              <w:rPr>
                <w:rFonts w:ascii="Arial" w:cs="Arial" w:eastAsia="Arial" w:hAnsi="Arial"/>
                <w:sz w:val="18"/>
                <w:szCs w:val="18"/>
                <w:color w:val="auto"/>
              </w:rPr>
              <w:t>and 60 degrees Fahrenheit temperature.</w:t>
            </w:r>
          </w:p>
        </w:tc>
      </w:tr>
      <w:tr>
        <w:trPr>
          <w:trHeight w:val="202"/>
        </w:trPr>
        <w:tc>
          <w:tcPr>
            <w:tcW w:w="14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MMCF</w:t>
            </w:r>
          </w:p>
        </w:tc>
        <w:tc>
          <w:tcPr>
            <w:tcW w:w="750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w w:val="92"/>
              </w:rPr>
              <w:t>One million cubic feet of natural gas at standard conditions, being approximately sea level pressure</w:t>
            </w:r>
          </w:p>
        </w:tc>
      </w:tr>
      <w:tr>
        <w:trPr>
          <w:trHeight w:val="230"/>
        </w:trPr>
        <w:tc>
          <w:tcPr>
            <w:tcW w:w="1400" w:type="dxa"/>
            <w:vAlign w:val="bottom"/>
            <w:shd w:val="clear" w:color="auto" w:fill="CCEEFF"/>
          </w:tcPr>
          <w:p>
            <w:pPr>
              <w:spacing w:after="0"/>
              <w:rPr>
                <w:sz w:val="20"/>
                <w:szCs w:val="20"/>
                <w:color w:val="auto"/>
              </w:rPr>
            </w:pPr>
          </w:p>
        </w:tc>
        <w:tc>
          <w:tcPr>
            <w:tcW w:w="75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and 60 degrees Fahrenheit temperature.</w:t>
            </w:r>
          </w:p>
        </w:tc>
      </w:tr>
      <w:tr>
        <w:trPr>
          <w:trHeight w:val="216"/>
        </w:trPr>
        <w:tc>
          <w:tcPr>
            <w:tcW w:w="1400" w:type="dxa"/>
            <w:vAlign w:val="bottom"/>
          </w:tcPr>
          <w:p>
            <w:pPr>
              <w:spacing w:after="0"/>
              <w:rPr>
                <w:sz w:val="20"/>
                <w:szCs w:val="20"/>
                <w:color w:val="auto"/>
              </w:rPr>
            </w:pPr>
            <w:r>
              <w:rPr>
                <w:rFonts w:ascii="Arial" w:cs="Arial" w:eastAsia="Arial" w:hAnsi="Arial"/>
                <w:sz w:val="18"/>
                <w:szCs w:val="18"/>
                <w:b w:val="1"/>
                <w:bCs w:val="1"/>
                <w:color w:val="auto"/>
              </w:rPr>
              <w:t>MMBTU</w:t>
            </w:r>
          </w:p>
        </w:tc>
        <w:tc>
          <w:tcPr>
            <w:tcW w:w="7500" w:type="dxa"/>
            <w:vAlign w:val="bottom"/>
            <w:gridSpan w:val="3"/>
          </w:tcPr>
          <w:p>
            <w:pPr>
              <w:ind w:left="140"/>
              <w:spacing w:after="0"/>
              <w:rPr>
                <w:sz w:val="20"/>
                <w:szCs w:val="20"/>
                <w:color w:val="auto"/>
              </w:rPr>
            </w:pPr>
            <w:r>
              <w:rPr>
                <w:rFonts w:ascii="Arial" w:cs="Arial" w:eastAsia="Arial" w:hAnsi="Arial"/>
                <w:sz w:val="18"/>
                <w:szCs w:val="18"/>
                <w:color w:val="auto"/>
              </w:rPr>
              <w:t>One million British Thermal Units.</w:t>
            </w:r>
          </w:p>
        </w:tc>
      </w:tr>
      <w:tr>
        <w:trPr>
          <w:trHeight w:val="198"/>
        </w:trPr>
        <w:tc>
          <w:tcPr>
            <w:tcW w:w="14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Mineral Royalty</w:t>
            </w:r>
          </w:p>
        </w:tc>
        <w:tc>
          <w:tcPr>
            <w:tcW w:w="7500" w:type="dxa"/>
            <w:vAlign w:val="bottom"/>
            <w:gridSpan w:val="3"/>
            <w:shd w:val="clear" w:color="auto" w:fill="CCEEFF"/>
          </w:tcPr>
          <w:p>
            <w:pPr>
              <w:ind w:left="140"/>
              <w:spacing w:after="0" w:line="198" w:lineRule="exact"/>
              <w:rPr>
                <w:sz w:val="20"/>
                <w:szCs w:val="20"/>
                <w:color w:val="auto"/>
              </w:rPr>
            </w:pPr>
            <w:r>
              <w:rPr>
                <w:rFonts w:ascii="Arial" w:cs="Arial" w:eastAsia="Arial" w:hAnsi="Arial"/>
                <w:sz w:val="18"/>
                <w:szCs w:val="18"/>
                <w:color w:val="auto"/>
                <w:w w:val="97"/>
              </w:rPr>
              <w:t xml:space="preserve">A royalty interest that is retained by the owner of the minerals underlying a lease. See </w:t>
            </w:r>
            <w:r>
              <w:rPr>
                <w:rFonts w:ascii="Arial" w:cs="Arial" w:eastAsia="Arial" w:hAnsi="Arial"/>
                <w:sz w:val="18"/>
                <w:szCs w:val="18"/>
                <w:color w:val="008080"/>
                <w:w w:val="97"/>
              </w:rPr>
              <w:t>“</w:t>
            </w:r>
            <w:r>
              <w:rPr>
                <w:rFonts w:ascii="Arial" w:cs="Arial" w:eastAsia="Arial" w:hAnsi="Arial"/>
                <w:sz w:val="18"/>
                <w:szCs w:val="18"/>
                <w:color w:val="auto"/>
                <w:w w:val="97"/>
              </w:rPr>
              <w:t>Royalty</w:t>
            </w:r>
          </w:p>
        </w:tc>
      </w:tr>
      <w:tr>
        <w:trPr>
          <w:trHeight w:val="234"/>
        </w:trPr>
        <w:tc>
          <w:tcPr>
            <w:tcW w:w="1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w:t>
            </w:r>
          </w:p>
        </w:tc>
        <w:tc>
          <w:tcPr>
            <w:tcW w:w="75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Interest.</w:t>
            </w:r>
            <w:r>
              <w:rPr>
                <w:rFonts w:ascii="Arial" w:cs="Arial" w:eastAsia="Arial" w:hAnsi="Arial"/>
                <w:sz w:val="18"/>
                <w:szCs w:val="18"/>
                <w:color w:val="008080"/>
              </w:rPr>
              <w:t>”</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Acres or Net</w:t>
            </w:r>
          </w:p>
        </w:tc>
        <w:tc>
          <w:tcPr>
            <w:tcW w:w="7440" w:type="dxa"/>
            <w:vAlign w:val="bottom"/>
          </w:tcPr>
          <w:p>
            <w:pPr>
              <w:ind w:left="80"/>
              <w:spacing w:after="0"/>
              <w:rPr>
                <w:sz w:val="20"/>
                <w:szCs w:val="20"/>
                <w:color w:val="auto"/>
              </w:rPr>
            </w:pPr>
            <w:r>
              <w:rPr>
                <w:rFonts w:ascii="Arial" w:cs="Arial" w:eastAsia="Arial" w:hAnsi="Arial"/>
                <w:sz w:val="18"/>
                <w:szCs w:val="18"/>
                <w:color w:val="auto"/>
              </w:rPr>
              <w:t>The sum of the fractional working interests owned in gross acres or gross wells.</w:t>
            </w:r>
          </w:p>
        </w:tc>
      </w:tr>
      <w:tr>
        <w:trPr>
          <w:trHeight w:val="234"/>
        </w:trPr>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rPr>
              <w:t>Wells</w:t>
            </w:r>
          </w:p>
        </w:tc>
        <w:tc>
          <w:tcPr>
            <w:tcW w:w="744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4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NGL</w:t>
            </w:r>
          </w:p>
        </w:tc>
        <w:tc>
          <w:tcPr>
            <w:tcW w:w="74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4"/>
              </w:rPr>
              <w:t>Natural Gas Liquids; the combination of ethane, propane, butane and natural gasoline that can be</w:t>
            </w: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4"/>
              </w:rPr>
              <w:t>removed from natural gas through processing, typically through refrigeration plants that utilize low</w:t>
            </w: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3"/>
              </w:rPr>
              <w:t>temperatures, or through plants that utilize compression, temperature reduction and expansion to a</w:t>
            </w:r>
          </w:p>
        </w:tc>
      </w:tr>
      <w:tr>
        <w:trPr>
          <w:trHeight w:val="230"/>
        </w:trPr>
        <w:tc>
          <w:tcPr>
            <w:tcW w:w="20" w:type="dxa"/>
            <w:vAlign w:val="bottom"/>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7440" w:type="dxa"/>
            <w:vAlign w:val="bottom"/>
            <w:shd w:val="clear" w:color="auto" w:fill="CCEEFF"/>
          </w:tcPr>
          <w:p>
            <w:pPr>
              <w:ind w:left="80"/>
              <w:spacing w:after="0"/>
              <w:rPr>
                <w:sz w:val="20"/>
                <w:szCs w:val="20"/>
                <w:color w:val="auto"/>
              </w:rPr>
            </w:pPr>
            <w:r>
              <w:rPr>
                <w:rFonts w:ascii="Arial" w:cs="Arial" w:eastAsia="Arial" w:hAnsi="Arial"/>
                <w:sz w:val="18"/>
                <w:szCs w:val="18"/>
                <w:color w:val="auto"/>
              </w:rPr>
              <w:t>lower pressure.</w:t>
            </w:r>
          </w:p>
        </w:tc>
      </w:tr>
      <w:tr>
        <w:trPr>
          <w:trHeight w:val="198"/>
        </w:trPr>
        <w:tc>
          <w:tcPr>
            <w:tcW w:w="20" w:type="dxa"/>
            <w:vAlign w:val="bottom"/>
          </w:tcPr>
          <w:p>
            <w:pPr>
              <w:spacing w:after="0"/>
              <w:rPr>
                <w:sz w:val="17"/>
                <w:szCs w:val="17"/>
                <w:color w:val="auto"/>
              </w:rPr>
            </w:pPr>
          </w:p>
        </w:tc>
        <w:tc>
          <w:tcPr>
            <w:tcW w:w="1460" w:type="dxa"/>
            <w:vAlign w:val="bottom"/>
          </w:tcPr>
          <w:p>
            <w:pPr>
              <w:spacing w:after="0" w:line="198" w:lineRule="exact"/>
              <w:rPr>
                <w:sz w:val="20"/>
                <w:szCs w:val="20"/>
                <w:color w:val="auto"/>
              </w:rPr>
            </w:pPr>
            <w:r>
              <w:rPr>
                <w:rFonts w:ascii="Arial" w:cs="Arial" w:eastAsia="Arial" w:hAnsi="Arial"/>
                <w:sz w:val="18"/>
                <w:szCs w:val="18"/>
                <w:b w:val="1"/>
                <w:bCs w:val="1"/>
                <w:color w:val="auto"/>
              </w:rPr>
              <w:t>Non-operated</w:t>
            </w:r>
          </w:p>
        </w:tc>
        <w:tc>
          <w:tcPr>
            <w:tcW w:w="7440" w:type="dxa"/>
            <w:vAlign w:val="bottom"/>
          </w:tcPr>
          <w:p>
            <w:pPr>
              <w:ind w:left="80"/>
              <w:spacing w:after="0" w:line="198" w:lineRule="exact"/>
              <w:rPr>
                <w:sz w:val="20"/>
                <w:szCs w:val="20"/>
                <w:color w:val="auto"/>
              </w:rPr>
            </w:pPr>
            <w:r>
              <w:rPr>
                <w:rFonts w:ascii="Arial" w:cs="Arial" w:eastAsia="Arial" w:hAnsi="Arial"/>
                <w:sz w:val="18"/>
                <w:szCs w:val="18"/>
                <w:color w:val="auto"/>
                <w:w w:val="92"/>
              </w:rPr>
              <w:t>An interest in an oil and/or natural gas property but does not participate in or have any responsibility</w:t>
            </w:r>
          </w:p>
        </w:tc>
      </w:tr>
      <w:tr>
        <w:trPr>
          <w:trHeight w:val="234"/>
        </w:trPr>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rPr>
              <w:t>Interest</w:t>
            </w:r>
          </w:p>
        </w:tc>
        <w:tc>
          <w:tcPr>
            <w:tcW w:w="7440" w:type="dxa"/>
            <w:vAlign w:val="bottom"/>
          </w:tcPr>
          <w:p>
            <w:pPr>
              <w:ind w:left="80"/>
              <w:spacing w:after="0"/>
              <w:rPr>
                <w:sz w:val="20"/>
                <w:szCs w:val="20"/>
                <w:color w:val="auto"/>
              </w:rPr>
            </w:pPr>
            <w:r>
              <w:rPr>
                <w:rFonts w:ascii="Arial" w:cs="Arial" w:eastAsia="Arial" w:hAnsi="Arial"/>
                <w:sz w:val="18"/>
                <w:szCs w:val="18"/>
                <w:color w:val="auto"/>
              </w:rPr>
              <w:t>for actual operation of the property.</w:t>
            </w:r>
          </w:p>
        </w:tc>
      </w:tr>
      <w:tr>
        <w:trPr>
          <w:trHeight w:val="198"/>
        </w:trPr>
        <w:tc>
          <w:tcPr>
            <w:tcW w:w="20" w:type="dxa"/>
            <w:vAlign w:val="bottom"/>
          </w:tcPr>
          <w:p>
            <w:pPr>
              <w:spacing w:after="0"/>
              <w:rPr>
                <w:sz w:val="17"/>
                <w:szCs w:val="17"/>
                <w:color w:val="auto"/>
              </w:rPr>
            </w:pPr>
          </w:p>
        </w:tc>
        <w:tc>
          <w:tcPr>
            <w:tcW w:w="14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Non-operated</w:t>
            </w:r>
          </w:p>
        </w:tc>
        <w:tc>
          <w:tcPr>
            <w:tcW w:w="7440" w:type="dxa"/>
            <w:vAlign w:val="bottom"/>
            <w:shd w:val="clear" w:color="auto" w:fill="CCEEFF"/>
          </w:tcPr>
          <w:p>
            <w:pPr>
              <w:ind w:left="80"/>
              <w:spacing w:after="0" w:line="198" w:lineRule="exact"/>
              <w:rPr>
                <w:sz w:val="20"/>
                <w:szCs w:val="20"/>
                <w:color w:val="auto"/>
              </w:rPr>
            </w:pPr>
            <w:r>
              <w:rPr>
                <w:rFonts w:ascii="Arial" w:cs="Arial" w:eastAsia="Arial" w:hAnsi="Arial"/>
                <w:sz w:val="18"/>
                <w:szCs w:val="18"/>
                <w:color w:val="auto"/>
                <w:w w:val="92"/>
              </w:rPr>
              <w:t>An interest in an oil and/or natural gas property but does not participate in or have any responsibility</w:t>
            </w:r>
          </w:p>
        </w:tc>
      </w:tr>
      <w:tr>
        <w:trPr>
          <w:trHeight w:val="220"/>
        </w:trPr>
        <w:tc>
          <w:tcPr>
            <w:tcW w:w="20" w:type="dxa"/>
            <w:vAlign w:val="bottom"/>
          </w:tcPr>
          <w:p>
            <w:pPr>
              <w:spacing w:after="0"/>
              <w:rPr>
                <w:sz w:val="19"/>
                <w:szCs w:val="19"/>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Working Interest</w:t>
            </w:r>
          </w:p>
        </w:tc>
        <w:tc>
          <w:tcPr>
            <w:tcW w:w="7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4"/>
              </w:rPr>
              <w:t>for actual operation of the property, but is burdened with the cost of development and operation of</w:t>
            </w:r>
          </w:p>
        </w:tc>
      </w:tr>
      <w:tr>
        <w:trPr>
          <w:trHeight w:val="230"/>
        </w:trPr>
        <w:tc>
          <w:tcPr>
            <w:tcW w:w="20" w:type="dxa"/>
            <w:vAlign w:val="bottom"/>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7440" w:type="dxa"/>
            <w:vAlign w:val="bottom"/>
            <w:shd w:val="clear" w:color="auto" w:fill="CCEEFF"/>
          </w:tcPr>
          <w:p>
            <w:pPr>
              <w:ind w:left="80"/>
              <w:spacing w:after="0"/>
              <w:rPr>
                <w:sz w:val="20"/>
                <w:szCs w:val="20"/>
                <w:color w:val="auto"/>
              </w:rPr>
            </w:pPr>
            <w:r>
              <w:rPr>
                <w:rFonts w:ascii="Arial" w:cs="Arial" w:eastAsia="Arial" w:hAnsi="Arial"/>
                <w:sz w:val="18"/>
                <w:szCs w:val="18"/>
                <w:color w:val="auto"/>
              </w:rPr>
              <w:t>the property.</w:t>
            </w: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b w:val="1"/>
                <w:bCs w:val="1"/>
                <w:color w:val="auto"/>
              </w:rPr>
              <w:t>NYMEX</w:t>
            </w:r>
          </w:p>
        </w:tc>
        <w:tc>
          <w:tcPr>
            <w:tcW w:w="7440" w:type="dxa"/>
            <w:vAlign w:val="bottom"/>
          </w:tcPr>
          <w:p>
            <w:pPr>
              <w:ind w:left="80"/>
              <w:spacing w:after="0"/>
              <w:rPr>
                <w:sz w:val="20"/>
                <w:szCs w:val="20"/>
                <w:color w:val="auto"/>
              </w:rPr>
            </w:pPr>
            <w:r>
              <w:rPr>
                <w:rFonts w:ascii="Arial" w:cs="Arial" w:eastAsia="Arial" w:hAnsi="Arial"/>
                <w:sz w:val="18"/>
                <w:szCs w:val="18"/>
                <w:color w:val="auto"/>
              </w:rPr>
              <w:t>New York Mercantile Exchange.</w:t>
            </w:r>
          </w:p>
        </w:tc>
      </w:tr>
      <w:tr>
        <w:trPr>
          <w:trHeight w:val="202"/>
        </w:trPr>
        <w:tc>
          <w:tcPr>
            <w:tcW w:w="20" w:type="dxa"/>
            <w:vAlign w:val="bottom"/>
          </w:tcPr>
          <w:p>
            <w:pPr>
              <w:spacing w:after="0"/>
              <w:rPr>
                <w:sz w:val="17"/>
                <w:szCs w:val="17"/>
                <w:color w:val="auto"/>
              </w:rPr>
            </w:pPr>
          </w:p>
        </w:tc>
        <w:tc>
          <w:tcPr>
            <w:tcW w:w="14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OOIP</w:t>
            </w:r>
          </w:p>
        </w:tc>
        <w:tc>
          <w:tcPr>
            <w:tcW w:w="74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Original Oil in Place; an estimate of the barrels originally contained in a reservoir before any</w:t>
            </w:r>
          </w:p>
        </w:tc>
      </w:tr>
      <w:tr>
        <w:trPr>
          <w:trHeight w:val="230"/>
        </w:trPr>
        <w:tc>
          <w:tcPr>
            <w:tcW w:w="20" w:type="dxa"/>
            <w:vAlign w:val="bottom"/>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744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production therefrom.</w:t>
            </w:r>
          </w:p>
        </w:tc>
      </w:tr>
      <w:tr>
        <w:trPr>
          <w:trHeight w:val="202"/>
        </w:trPr>
        <w:tc>
          <w:tcPr>
            <w:tcW w:w="20" w:type="dxa"/>
            <w:vAlign w:val="bottom"/>
          </w:tcPr>
          <w:p>
            <w:pPr>
              <w:spacing w:after="0"/>
              <w:rPr>
                <w:sz w:val="17"/>
                <w:szCs w:val="17"/>
                <w:color w:val="auto"/>
              </w:rPr>
            </w:pPr>
          </w:p>
        </w:tc>
        <w:tc>
          <w:tcPr>
            <w:tcW w:w="1460" w:type="dxa"/>
            <w:vAlign w:val="bottom"/>
          </w:tcPr>
          <w:p>
            <w:pPr>
              <w:spacing w:after="0" w:line="201" w:lineRule="exact"/>
              <w:rPr>
                <w:sz w:val="20"/>
                <w:szCs w:val="20"/>
                <w:color w:val="auto"/>
              </w:rPr>
            </w:pPr>
            <w:r>
              <w:rPr>
                <w:rFonts w:ascii="Arial" w:cs="Arial" w:eastAsia="Arial" w:hAnsi="Arial"/>
                <w:sz w:val="18"/>
                <w:szCs w:val="18"/>
                <w:b w:val="1"/>
                <w:bCs w:val="1"/>
                <w:color w:val="auto"/>
              </w:rPr>
              <w:t>Operator</w:t>
            </w:r>
          </w:p>
        </w:tc>
        <w:tc>
          <w:tcPr>
            <w:tcW w:w="7440" w:type="dxa"/>
            <w:vAlign w:val="bottom"/>
          </w:tcPr>
          <w:p>
            <w:pPr>
              <w:ind w:left="80"/>
              <w:spacing w:after="0" w:line="201" w:lineRule="exact"/>
              <w:rPr>
                <w:sz w:val="20"/>
                <w:szCs w:val="20"/>
                <w:color w:val="auto"/>
              </w:rPr>
            </w:pPr>
            <w:r>
              <w:rPr>
                <w:rFonts w:ascii="Arial" w:cs="Arial" w:eastAsia="Arial" w:hAnsi="Arial"/>
                <w:sz w:val="18"/>
                <w:szCs w:val="18"/>
                <w:color w:val="auto"/>
                <w:w w:val="90"/>
              </w:rPr>
              <w:t>An oil and natural gas joint venture participant that manages the joint venture, pays venture costs and</w:t>
            </w: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440" w:type="dxa"/>
            <w:vAlign w:val="bottom"/>
          </w:tcPr>
          <w:p>
            <w:pPr>
              <w:ind w:left="80"/>
              <w:spacing w:after="0"/>
              <w:rPr>
                <w:sz w:val="20"/>
                <w:szCs w:val="20"/>
                <w:color w:val="auto"/>
              </w:rPr>
            </w:pPr>
            <w:r>
              <w:rPr>
                <w:rFonts w:ascii="Arial" w:cs="Arial" w:eastAsia="Arial" w:hAnsi="Arial"/>
                <w:sz w:val="18"/>
                <w:szCs w:val="18"/>
                <w:color w:val="auto"/>
                <w:w w:val="92"/>
              </w:rPr>
              <w:t>bills the venture’s non-operators for their share of venture costs. The operator is also responsible to</w:t>
            </w: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440" w:type="dxa"/>
            <w:vAlign w:val="bottom"/>
          </w:tcPr>
          <w:p>
            <w:pPr>
              <w:ind w:left="80"/>
              <w:spacing w:after="0"/>
              <w:rPr>
                <w:sz w:val="20"/>
                <w:szCs w:val="20"/>
                <w:color w:val="auto"/>
              </w:rPr>
            </w:pPr>
            <w:r>
              <w:rPr>
                <w:rFonts w:ascii="Arial" w:cs="Arial" w:eastAsia="Arial" w:hAnsi="Arial"/>
                <w:sz w:val="18"/>
                <w:szCs w:val="18"/>
                <w:color w:val="auto"/>
                <w:w w:val="94"/>
              </w:rPr>
              <w:t>market all oil and natural gas production, except for those non-operators who take their production</w:t>
            </w:r>
          </w:p>
        </w:tc>
      </w:tr>
      <w:tr>
        <w:trPr>
          <w:trHeight w:val="230"/>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7440" w:type="dxa"/>
            <w:vAlign w:val="bottom"/>
          </w:tcPr>
          <w:p>
            <w:pPr>
              <w:ind w:left="80"/>
              <w:spacing w:after="0"/>
              <w:rPr>
                <w:sz w:val="20"/>
                <w:szCs w:val="20"/>
                <w:color w:val="auto"/>
              </w:rPr>
            </w:pPr>
            <w:r>
              <w:rPr>
                <w:rFonts w:ascii="Arial" w:cs="Arial" w:eastAsia="Arial" w:hAnsi="Arial"/>
                <w:sz w:val="18"/>
                <w:szCs w:val="18"/>
                <w:color w:val="auto"/>
              </w:rPr>
              <w:t>in-kind.</w:t>
            </w:r>
          </w:p>
        </w:tc>
      </w:tr>
      <w:tr>
        <w:trPr>
          <w:trHeight w:val="198"/>
        </w:trPr>
        <w:tc>
          <w:tcPr>
            <w:tcW w:w="20" w:type="dxa"/>
            <w:vAlign w:val="bottom"/>
          </w:tcPr>
          <w:p>
            <w:pPr>
              <w:spacing w:after="0"/>
              <w:rPr>
                <w:sz w:val="17"/>
                <w:szCs w:val="17"/>
                <w:color w:val="auto"/>
              </w:rPr>
            </w:pPr>
          </w:p>
        </w:tc>
        <w:tc>
          <w:tcPr>
            <w:tcW w:w="14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Overriding</w:t>
            </w:r>
          </w:p>
        </w:tc>
        <w:tc>
          <w:tcPr>
            <w:tcW w:w="7440" w:type="dxa"/>
            <w:vAlign w:val="bottom"/>
            <w:shd w:val="clear" w:color="auto" w:fill="CCEEFF"/>
          </w:tcPr>
          <w:p>
            <w:pPr>
              <w:ind w:left="80"/>
              <w:spacing w:after="0" w:line="198" w:lineRule="exact"/>
              <w:rPr>
                <w:sz w:val="20"/>
                <w:szCs w:val="20"/>
                <w:color w:val="auto"/>
              </w:rPr>
            </w:pPr>
            <w:r>
              <w:rPr>
                <w:rFonts w:ascii="Arial" w:cs="Arial" w:eastAsia="Arial" w:hAnsi="Arial"/>
                <w:sz w:val="18"/>
                <w:szCs w:val="18"/>
                <w:color w:val="auto"/>
                <w:w w:val="92"/>
              </w:rPr>
              <w:t>A royalty interest that is created out of the operating or working interest. Unlike a royalty interest, an</w:t>
            </w: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Royalty Interest</w:t>
            </w:r>
          </w:p>
        </w:tc>
        <w:tc>
          <w:tcPr>
            <w:tcW w:w="7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2"/>
              </w:rPr>
              <w:t>overriding royalty interest terminates with the operating interest from which it was created or carved</w:t>
            </w:r>
          </w:p>
        </w:tc>
      </w:tr>
      <w:tr>
        <w:trPr>
          <w:trHeight w:val="234"/>
        </w:trPr>
        <w:tc>
          <w:tcPr>
            <w:tcW w:w="20" w:type="dxa"/>
            <w:vAlign w:val="bottom"/>
          </w:tcPr>
          <w:p>
            <w:pPr>
              <w:spacing w:after="0"/>
              <w:rPr>
                <w:sz w:val="20"/>
                <w:szCs w:val="20"/>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or ORRI</w:t>
            </w:r>
          </w:p>
        </w:tc>
        <w:tc>
          <w:tcPr>
            <w:tcW w:w="7440" w:type="dxa"/>
            <w:vAlign w:val="bottom"/>
            <w:shd w:val="clear" w:color="auto" w:fill="CCEEFF"/>
          </w:tcPr>
          <w:p>
            <w:pPr>
              <w:ind w:left="80"/>
              <w:spacing w:after="0"/>
              <w:rPr>
                <w:sz w:val="20"/>
                <w:szCs w:val="20"/>
                <w:color w:val="auto"/>
              </w:rPr>
            </w:pPr>
            <w:r>
              <w:rPr>
                <w:rFonts w:ascii="Arial" w:cs="Arial" w:eastAsia="Arial" w:hAnsi="Arial"/>
                <w:sz w:val="18"/>
                <w:szCs w:val="18"/>
                <w:color w:val="auto"/>
              </w:rPr>
              <w:t xml:space="preserve">out of. See </w:t>
            </w:r>
            <w:r>
              <w:rPr>
                <w:rFonts w:ascii="Arial" w:cs="Arial" w:eastAsia="Arial" w:hAnsi="Arial"/>
                <w:sz w:val="18"/>
                <w:szCs w:val="18"/>
                <w:color w:val="008080"/>
              </w:rPr>
              <w:t>“</w:t>
            </w:r>
            <w:r>
              <w:rPr>
                <w:rFonts w:ascii="Arial" w:cs="Arial" w:eastAsia="Arial" w:hAnsi="Arial"/>
                <w:sz w:val="18"/>
                <w:szCs w:val="18"/>
                <w:color w:val="auto"/>
              </w:rPr>
              <w:t>Royalty Interest.</w:t>
            </w:r>
            <w:r>
              <w:rPr>
                <w:rFonts w:ascii="Arial" w:cs="Arial" w:eastAsia="Arial" w:hAnsi="Arial"/>
                <w:sz w:val="18"/>
                <w:szCs w:val="18"/>
                <w:color w:val="008080"/>
              </w:rPr>
              <w:t>”</w:t>
            </w:r>
          </w:p>
        </w:tc>
      </w:tr>
      <w:tr>
        <w:trPr>
          <w:trHeight w:val="202"/>
        </w:trPr>
        <w:tc>
          <w:tcPr>
            <w:tcW w:w="20" w:type="dxa"/>
            <w:vAlign w:val="bottom"/>
          </w:tcPr>
          <w:p>
            <w:pPr>
              <w:spacing w:after="0"/>
              <w:rPr>
                <w:sz w:val="17"/>
                <w:szCs w:val="17"/>
                <w:color w:val="auto"/>
              </w:rPr>
            </w:pPr>
          </w:p>
        </w:tc>
        <w:tc>
          <w:tcPr>
            <w:tcW w:w="1460" w:type="dxa"/>
            <w:vAlign w:val="bottom"/>
          </w:tcPr>
          <w:p>
            <w:pPr>
              <w:spacing w:after="0" w:line="201" w:lineRule="exact"/>
              <w:rPr>
                <w:sz w:val="20"/>
                <w:szCs w:val="20"/>
                <w:color w:val="auto"/>
              </w:rPr>
            </w:pPr>
            <w:r>
              <w:rPr>
                <w:rFonts w:ascii="Arial" w:cs="Arial" w:eastAsia="Arial" w:hAnsi="Arial"/>
                <w:sz w:val="18"/>
                <w:szCs w:val="18"/>
                <w:b w:val="1"/>
                <w:bCs w:val="1"/>
                <w:color w:val="auto"/>
              </w:rPr>
              <w:t>Permeability</w:t>
            </w:r>
          </w:p>
        </w:tc>
        <w:tc>
          <w:tcPr>
            <w:tcW w:w="7440" w:type="dxa"/>
            <w:vAlign w:val="bottom"/>
          </w:tcPr>
          <w:p>
            <w:pPr>
              <w:ind w:left="80"/>
              <w:spacing w:after="0" w:line="201" w:lineRule="exact"/>
              <w:rPr>
                <w:sz w:val="20"/>
                <w:szCs w:val="20"/>
                <w:color w:val="auto"/>
              </w:rPr>
            </w:pPr>
            <w:r>
              <w:rPr>
                <w:rFonts w:ascii="Arial" w:cs="Arial" w:eastAsia="Arial" w:hAnsi="Arial"/>
                <w:sz w:val="18"/>
                <w:szCs w:val="18"/>
                <w:color w:val="auto"/>
                <w:w w:val="91"/>
              </w:rPr>
              <w:t>The measure of ease with which a fluid can move through a reservoir. The unit of measure is a darcy</w:t>
            </w: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440" w:type="dxa"/>
            <w:vAlign w:val="bottom"/>
          </w:tcPr>
          <w:p>
            <w:pPr>
              <w:ind w:left="80"/>
              <w:spacing w:after="0"/>
              <w:rPr>
                <w:sz w:val="20"/>
                <w:szCs w:val="20"/>
                <w:color w:val="auto"/>
              </w:rPr>
            </w:pPr>
            <w:r>
              <w:rPr>
                <w:rFonts w:ascii="Arial" w:cs="Arial" w:eastAsia="Arial" w:hAnsi="Arial"/>
                <w:sz w:val="18"/>
                <w:szCs w:val="18"/>
                <w:color w:val="auto"/>
                <w:w w:val="99"/>
              </w:rPr>
              <w:t>(d), or any metric derivation thereof, such as a millidarcy (md), where one darcy equals 1,000</w:t>
            </w: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440" w:type="dxa"/>
            <w:vAlign w:val="bottom"/>
          </w:tcPr>
          <w:p>
            <w:pPr>
              <w:ind w:left="80"/>
              <w:spacing w:after="0"/>
              <w:rPr>
                <w:sz w:val="20"/>
                <w:szCs w:val="20"/>
                <w:color w:val="auto"/>
              </w:rPr>
            </w:pPr>
            <w:r>
              <w:rPr>
                <w:rFonts w:ascii="Arial" w:cs="Arial" w:eastAsia="Arial" w:hAnsi="Arial"/>
                <w:sz w:val="18"/>
                <w:szCs w:val="18"/>
                <w:color w:val="auto"/>
                <w:w w:val="97"/>
              </w:rPr>
              <w:t>millidarcy. Extremely low permeability of 10 millidarcy, or less, are often associated with source</w:t>
            </w: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440" w:type="dxa"/>
            <w:vAlign w:val="bottom"/>
          </w:tcPr>
          <w:p>
            <w:pPr>
              <w:ind w:left="80"/>
              <w:spacing w:after="0"/>
              <w:rPr>
                <w:sz w:val="20"/>
                <w:szCs w:val="20"/>
                <w:color w:val="auto"/>
              </w:rPr>
            </w:pPr>
            <w:r>
              <w:rPr>
                <w:rFonts w:ascii="Arial" w:cs="Arial" w:eastAsia="Arial" w:hAnsi="Arial"/>
                <w:sz w:val="18"/>
                <w:szCs w:val="18"/>
                <w:color w:val="auto"/>
              </w:rPr>
              <w:t>rocks, such as shale. Extraction of hydrocarbons from a source rock is more difficult than a</w:t>
            </w:r>
          </w:p>
        </w:tc>
      </w:tr>
      <w:tr>
        <w:trPr>
          <w:trHeight w:val="230"/>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7440" w:type="dxa"/>
            <w:vAlign w:val="bottom"/>
          </w:tcPr>
          <w:p>
            <w:pPr>
              <w:ind w:left="80"/>
              <w:spacing w:after="0"/>
              <w:rPr>
                <w:sz w:val="20"/>
                <w:szCs w:val="20"/>
                <w:color w:val="auto"/>
              </w:rPr>
            </w:pPr>
            <w:r>
              <w:rPr>
                <w:rFonts w:ascii="Arial" w:cs="Arial" w:eastAsia="Arial" w:hAnsi="Arial"/>
                <w:sz w:val="18"/>
                <w:szCs w:val="18"/>
                <w:color w:val="auto"/>
              </w:rPr>
              <w:t>sandstone reservoir where permeability typically ranges one to two darcy or more.</w:t>
            </w:r>
          </w:p>
        </w:tc>
      </w:tr>
      <w:tr>
        <w:trPr>
          <w:trHeight w:val="202"/>
        </w:trPr>
        <w:tc>
          <w:tcPr>
            <w:tcW w:w="20" w:type="dxa"/>
            <w:vAlign w:val="bottom"/>
          </w:tcPr>
          <w:p>
            <w:pPr>
              <w:spacing w:after="0"/>
              <w:rPr>
                <w:sz w:val="17"/>
                <w:szCs w:val="17"/>
                <w:color w:val="auto"/>
              </w:rPr>
            </w:pPr>
          </w:p>
        </w:tc>
        <w:tc>
          <w:tcPr>
            <w:tcW w:w="14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Porosity</w:t>
            </w:r>
          </w:p>
        </w:tc>
        <w:tc>
          <w:tcPr>
            <w:tcW w:w="74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8"/>
              </w:rPr>
              <w:t>The relative volume of the pore space (or open area) compared to the total bulk volume of the</w:t>
            </w: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7"/>
              </w:rPr>
              <w:t>reservoir, stated in percent. Higher porosity rocks provide more storage space for hydrocarbon</w:t>
            </w:r>
          </w:p>
        </w:tc>
      </w:tr>
      <w:tr>
        <w:trPr>
          <w:trHeight w:val="230"/>
        </w:trPr>
        <w:tc>
          <w:tcPr>
            <w:tcW w:w="20" w:type="dxa"/>
            <w:vAlign w:val="bottom"/>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74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accumulations than lower porosity rocks in a given cubic volume of reservoir.</w:t>
            </w:r>
          </w:p>
        </w:tc>
      </w:tr>
      <w:tr>
        <w:trPr>
          <w:trHeight w:val="198"/>
        </w:trPr>
        <w:tc>
          <w:tcPr>
            <w:tcW w:w="20" w:type="dxa"/>
            <w:vAlign w:val="bottom"/>
          </w:tcPr>
          <w:p>
            <w:pPr>
              <w:spacing w:after="0"/>
              <w:rPr>
                <w:sz w:val="17"/>
                <w:szCs w:val="17"/>
                <w:color w:val="auto"/>
              </w:rPr>
            </w:pPr>
          </w:p>
        </w:tc>
        <w:tc>
          <w:tcPr>
            <w:tcW w:w="1460" w:type="dxa"/>
            <w:vAlign w:val="bottom"/>
          </w:tcPr>
          <w:p>
            <w:pPr>
              <w:spacing w:after="0" w:line="198" w:lineRule="exact"/>
              <w:rPr>
                <w:sz w:val="20"/>
                <w:szCs w:val="20"/>
                <w:color w:val="auto"/>
              </w:rPr>
            </w:pPr>
            <w:r>
              <w:rPr>
                <w:rFonts w:ascii="Arial" w:cs="Arial" w:eastAsia="Arial" w:hAnsi="Arial"/>
                <w:sz w:val="18"/>
                <w:szCs w:val="18"/>
                <w:b w:val="1"/>
                <w:bCs w:val="1"/>
                <w:color w:val="auto"/>
              </w:rPr>
              <w:t>Primary</w:t>
            </w:r>
          </w:p>
        </w:tc>
        <w:tc>
          <w:tcPr>
            <w:tcW w:w="7440" w:type="dxa"/>
            <w:vAlign w:val="bottom"/>
          </w:tcPr>
          <w:p>
            <w:pPr>
              <w:ind w:left="80"/>
              <w:spacing w:after="0" w:line="198" w:lineRule="exact"/>
              <w:rPr>
                <w:sz w:val="20"/>
                <w:szCs w:val="20"/>
                <w:color w:val="auto"/>
              </w:rPr>
            </w:pPr>
            <w:r>
              <w:rPr>
                <w:rFonts w:ascii="Arial" w:cs="Arial" w:eastAsia="Arial" w:hAnsi="Arial"/>
                <w:sz w:val="18"/>
                <w:szCs w:val="18"/>
                <w:color w:val="auto"/>
                <w:w w:val="99"/>
              </w:rPr>
              <w:t>The extraction of oil and natural gas from reservoirs using natural or initial reservoir pressure</w:t>
            </w:r>
          </w:p>
        </w:tc>
      </w:tr>
      <w:tr>
        <w:trPr>
          <w:trHeight w:val="234"/>
        </w:trPr>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w w:val="95"/>
              </w:rPr>
              <w:t>Recovery Method</w:t>
            </w:r>
          </w:p>
        </w:tc>
        <w:tc>
          <w:tcPr>
            <w:tcW w:w="7440" w:type="dxa"/>
            <w:vAlign w:val="bottom"/>
          </w:tcPr>
          <w:p>
            <w:pPr>
              <w:ind w:left="80"/>
              <w:spacing w:after="0"/>
              <w:rPr>
                <w:sz w:val="20"/>
                <w:szCs w:val="20"/>
                <w:color w:val="auto"/>
              </w:rPr>
            </w:pPr>
            <w:r>
              <w:rPr>
                <w:rFonts w:ascii="Arial" w:cs="Arial" w:eastAsia="Arial" w:hAnsi="Arial"/>
                <w:sz w:val="18"/>
                <w:szCs w:val="18"/>
                <w:color w:val="auto"/>
              </w:rPr>
              <w:t>combined with artificial lift techniques such as pumps.</w:t>
            </w:r>
          </w:p>
        </w:tc>
      </w:tr>
      <w:tr>
        <w:trPr>
          <w:trHeight w:val="198"/>
        </w:trPr>
        <w:tc>
          <w:tcPr>
            <w:tcW w:w="20" w:type="dxa"/>
            <w:vAlign w:val="bottom"/>
          </w:tcPr>
          <w:p>
            <w:pPr>
              <w:spacing w:after="0"/>
              <w:rPr>
                <w:sz w:val="17"/>
                <w:szCs w:val="17"/>
                <w:color w:val="auto"/>
              </w:rPr>
            </w:pPr>
          </w:p>
        </w:tc>
        <w:tc>
          <w:tcPr>
            <w:tcW w:w="14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Producing</w:t>
            </w:r>
          </w:p>
        </w:tc>
        <w:tc>
          <w:tcPr>
            <w:tcW w:w="7440" w:type="dxa"/>
            <w:vAlign w:val="bottom"/>
            <w:shd w:val="clear" w:color="auto" w:fill="CCEEFF"/>
          </w:tcPr>
          <w:p>
            <w:pPr>
              <w:ind w:left="80"/>
              <w:spacing w:after="0" w:line="198" w:lineRule="exact"/>
              <w:rPr>
                <w:sz w:val="20"/>
                <w:szCs w:val="20"/>
                <w:color w:val="auto"/>
              </w:rPr>
            </w:pPr>
            <w:r>
              <w:rPr>
                <w:rFonts w:ascii="Arial" w:cs="Arial" w:eastAsia="Arial" w:hAnsi="Arial"/>
                <w:sz w:val="18"/>
                <w:szCs w:val="18"/>
                <w:color w:val="auto"/>
              </w:rPr>
              <w:t>Any category of reserves that have been developed and production has been initiated.*</w:t>
            </w:r>
          </w:p>
        </w:tc>
      </w:tr>
      <w:tr>
        <w:trPr>
          <w:trHeight w:val="234"/>
        </w:trPr>
        <w:tc>
          <w:tcPr>
            <w:tcW w:w="20" w:type="dxa"/>
            <w:vAlign w:val="bottom"/>
          </w:tcPr>
          <w:p>
            <w:pPr>
              <w:spacing w:after="0"/>
              <w:rPr>
                <w:sz w:val="20"/>
                <w:szCs w:val="20"/>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Reserves</w:t>
            </w:r>
          </w:p>
        </w:tc>
        <w:tc>
          <w:tcPr>
            <w:tcW w:w="744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b w:val="1"/>
                <w:bCs w:val="1"/>
                <w:color w:val="auto"/>
              </w:rPr>
              <w:t>Producing Well</w:t>
            </w:r>
          </w:p>
        </w:tc>
        <w:tc>
          <w:tcPr>
            <w:tcW w:w="7440" w:type="dxa"/>
            <w:vAlign w:val="bottom"/>
          </w:tcPr>
          <w:p>
            <w:pPr>
              <w:ind w:left="80"/>
              <w:spacing w:after="0"/>
              <w:rPr>
                <w:sz w:val="20"/>
                <w:szCs w:val="20"/>
                <w:color w:val="auto"/>
              </w:rPr>
            </w:pPr>
            <w:r>
              <w:rPr>
                <w:rFonts w:ascii="Arial" w:cs="Arial" w:eastAsia="Arial" w:hAnsi="Arial"/>
                <w:sz w:val="18"/>
                <w:szCs w:val="18"/>
                <w:color w:val="auto"/>
              </w:rPr>
              <w:t>Any well that has been developed and production has been initiated.*</w:t>
            </w:r>
          </w:p>
        </w:tc>
      </w:tr>
      <w:tr>
        <w:trPr>
          <w:trHeight w:val="198"/>
        </w:trPr>
        <w:tc>
          <w:tcPr>
            <w:tcW w:w="20" w:type="dxa"/>
            <w:vAlign w:val="bottom"/>
          </w:tcPr>
          <w:p>
            <w:pPr>
              <w:spacing w:after="0"/>
              <w:rPr>
                <w:sz w:val="17"/>
                <w:szCs w:val="17"/>
                <w:color w:val="auto"/>
              </w:rPr>
            </w:pPr>
          </w:p>
        </w:tc>
        <w:tc>
          <w:tcPr>
            <w:tcW w:w="14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1"/>
              </w:rPr>
              <w:t>Proved Developed</w:t>
            </w:r>
          </w:p>
        </w:tc>
        <w:tc>
          <w:tcPr>
            <w:tcW w:w="7440" w:type="dxa"/>
            <w:vAlign w:val="bottom"/>
            <w:shd w:val="clear" w:color="auto" w:fill="CCEEFF"/>
          </w:tcPr>
          <w:p>
            <w:pPr>
              <w:ind w:left="80"/>
              <w:spacing w:after="0" w:line="198" w:lineRule="exact"/>
              <w:rPr>
                <w:sz w:val="20"/>
                <w:szCs w:val="20"/>
                <w:color w:val="auto"/>
              </w:rPr>
            </w:pPr>
            <w:r>
              <w:rPr>
                <w:rFonts w:ascii="Arial" w:cs="Arial" w:eastAsia="Arial" w:hAnsi="Arial"/>
                <w:sz w:val="18"/>
                <w:szCs w:val="18"/>
                <w:color w:val="auto"/>
                <w:w w:val="99"/>
              </w:rPr>
              <w:t>Proved Reserves that can be expected to be recovered (i) through existing wells with existing</w:t>
            </w:r>
          </w:p>
        </w:tc>
      </w:tr>
      <w:tr>
        <w:trPr>
          <w:trHeight w:val="220"/>
        </w:trPr>
        <w:tc>
          <w:tcPr>
            <w:tcW w:w="20" w:type="dxa"/>
            <w:vAlign w:val="bottom"/>
          </w:tcPr>
          <w:p>
            <w:pPr>
              <w:spacing w:after="0"/>
              <w:rPr>
                <w:sz w:val="19"/>
                <w:szCs w:val="19"/>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Reserves</w:t>
            </w:r>
          </w:p>
        </w:tc>
        <w:tc>
          <w:tcPr>
            <w:tcW w:w="7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3"/>
              </w:rPr>
              <w:t>equipment and operating methods or in which the cost of the required equipment is relatively minor</w:t>
            </w: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2"/>
              </w:rPr>
              <w:t>compared to the cost of a new well; and (ii) through installed extraction equipment and infrastructure</w:t>
            </w:r>
          </w:p>
        </w:tc>
      </w:tr>
      <w:tr>
        <w:trPr>
          <w:trHeight w:val="230"/>
        </w:trPr>
        <w:tc>
          <w:tcPr>
            <w:tcW w:w="20" w:type="dxa"/>
            <w:vAlign w:val="bottom"/>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7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4"/>
              </w:rPr>
              <w:t>operational at the time of the reserves estimate if the extraction is by a means not involving a well.</w:t>
            </w:r>
          </w:p>
        </w:tc>
      </w:tr>
      <w:tr>
        <w:trPr>
          <w:trHeight w:val="198"/>
        </w:trPr>
        <w:tc>
          <w:tcPr>
            <w:tcW w:w="20" w:type="dxa"/>
            <w:vAlign w:val="bottom"/>
          </w:tcPr>
          <w:p>
            <w:pPr>
              <w:spacing w:after="0"/>
              <w:rPr>
                <w:sz w:val="17"/>
                <w:szCs w:val="17"/>
                <w:color w:val="auto"/>
              </w:rPr>
            </w:pPr>
          </w:p>
        </w:tc>
        <w:tc>
          <w:tcPr>
            <w:tcW w:w="1460" w:type="dxa"/>
            <w:vAlign w:val="bottom"/>
          </w:tcPr>
          <w:p>
            <w:pPr>
              <w:spacing w:after="0" w:line="198" w:lineRule="exact"/>
              <w:rPr>
                <w:sz w:val="20"/>
                <w:szCs w:val="20"/>
                <w:color w:val="auto"/>
              </w:rPr>
            </w:pPr>
            <w:r>
              <w:rPr>
                <w:rFonts w:ascii="Arial" w:cs="Arial" w:eastAsia="Arial" w:hAnsi="Arial"/>
                <w:sz w:val="18"/>
                <w:szCs w:val="18"/>
                <w:b w:val="1"/>
                <w:bCs w:val="1"/>
                <w:color w:val="auto"/>
                <w:w w:val="91"/>
              </w:rPr>
              <w:t>Proved Developed</w:t>
            </w:r>
          </w:p>
        </w:tc>
        <w:tc>
          <w:tcPr>
            <w:tcW w:w="7440" w:type="dxa"/>
            <w:vAlign w:val="bottom"/>
          </w:tcPr>
          <w:p>
            <w:pPr>
              <w:ind w:left="80"/>
              <w:spacing w:after="0" w:line="198" w:lineRule="exact"/>
              <w:rPr>
                <w:sz w:val="20"/>
                <w:szCs w:val="20"/>
                <w:color w:val="auto"/>
              </w:rPr>
            </w:pPr>
            <w:r>
              <w:rPr>
                <w:rFonts w:ascii="Arial" w:cs="Arial" w:eastAsia="Arial" w:hAnsi="Arial"/>
                <w:sz w:val="18"/>
                <w:szCs w:val="18"/>
                <w:color w:val="auto"/>
                <w:w w:val="96"/>
              </w:rPr>
              <w:t>Proved Reserves that have been developed and no material amount of capital expenditures are</w:t>
            </w:r>
          </w:p>
        </w:tc>
      </w:tr>
      <w:tr>
        <w:trPr>
          <w:trHeight w:val="216"/>
        </w:trPr>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rPr>
              <w:t>Nonproducing</w:t>
            </w:r>
          </w:p>
        </w:tc>
        <w:tc>
          <w:tcPr>
            <w:tcW w:w="7440" w:type="dxa"/>
            <w:vAlign w:val="bottom"/>
          </w:tcPr>
          <w:p>
            <w:pPr>
              <w:ind w:left="80"/>
              <w:spacing w:after="0"/>
              <w:rPr>
                <w:sz w:val="20"/>
                <w:szCs w:val="20"/>
                <w:color w:val="auto"/>
              </w:rPr>
            </w:pPr>
            <w:r>
              <w:rPr>
                <w:rFonts w:ascii="Arial" w:cs="Arial" w:eastAsia="Arial" w:hAnsi="Arial"/>
                <w:sz w:val="18"/>
                <w:szCs w:val="18"/>
                <w:color w:val="auto"/>
                <w:w w:val="93"/>
              </w:rPr>
              <w:t>required to bring on production, but production has not yet been initiated due to timing, markets, or</w:t>
            </w:r>
          </w:p>
        </w:tc>
      </w:tr>
      <w:tr>
        <w:trPr>
          <w:trHeight w:val="234"/>
        </w:trPr>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rPr>
              <w:t>Reserves</w:t>
            </w:r>
          </w:p>
        </w:tc>
        <w:tc>
          <w:tcPr>
            <w:tcW w:w="7440" w:type="dxa"/>
            <w:vAlign w:val="bottom"/>
          </w:tcPr>
          <w:p>
            <w:pPr>
              <w:ind w:left="80"/>
              <w:spacing w:after="0"/>
              <w:rPr>
                <w:sz w:val="20"/>
                <w:szCs w:val="20"/>
                <w:color w:val="auto"/>
              </w:rPr>
            </w:pPr>
            <w:r>
              <w:rPr>
                <w:rFonts w:ascii="Arial" w:cs="Arial" w:eastAsia="Arial" w:hAnsi="Arial"/>
                <w:sz w:val="18"/>
                <w:szCs w:val="18"/>
                <w:color w:val="auto"/>
              </w:rPr>
              <w:t>lack of third party completed connection to a natural gas sales pipeline.*</w:t>
            </w:r>
          </w:p>
        </w:tc>
      </w:tr>
      <w:tr>
        <w:trPr>
          <w:trHeight w:val="198"/>
        </w:trPr>
        <w:tc>
          <w:tcPr>
            <w:tcW w:w="20" w:type="dxa"/>
            <w:vAlign w:val="bottom"/>
          </w:tcPr>
          <w:p>
            <w:pPr>
              <w:spacing w:after="0"/>
              <w:rPr>
                <w:sz w:val="17"/>
                <w:szCs w:val="17"/>
                <w:color w:val="auto"/>
              </w:rPr>
            </w:pPr>
          </w:p>
        </w:tc>
        <w:tc>
          <w:tcPr>
            <w:tcW w:w="14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1"/>
              </w:rPr>
              <w:t>Proved Developed</w:t>
            </w:r>
          </w:p>
        </w:tc>
        <w:tc>
          <w:tcPr>
            <w:tcW w:w="7440" w:type="dxa"/>
            <w:vAlign w:val="bottom"/>
            <w:shd w:val="clear" w:color="auto" w:fill="CCEEFF"/>
          </w:tcPr>
          <w:p>
            <w:pPr>
              <w:ind w:left="80"/>
              <w:spacing w:after="0" w:line="198" w:lineRule="exact"/>
              <w:rPr>
                <w:sz w:val="20"/>
                <w:szCs w:val="20"/>
                <w:color w:val="auto"/>
              </w:rPr>
            </w:pPr>
            <w:r>
              <w:rPr>
                <w:rFonts w:ascii="Arial" w:cs="Arial" w:eastAsia="Arial" w:hAnsi="Arial"/>
                <w:sz w:val="18"/>
                <w:szCs w:val="18"/>
                <w:color w:val="auto"/>
              </w:rPr>
              <w:t>Proved Reserves that have been developed and production has been initiated.*</w:t>
            </w: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Producing</w:t>
            </w:r>
          </w:p>
        </w:tc>
        <w:tc>
          <w:tcPr>
            <w:tcW w:w="744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Reserves (</w:t>
            </w:r>
            <w:r>
              <w:rPr>
                <w:rFonts w:ascii="Arial" w:cs="Arial" w:eastAsia="Arial" w:hAnsi="Arial"/>
                <w:sz w:val="18"/>
                <w:szCs w:val="18"/>
                <w:color w:val="auto"/>
                <w:w w:val="98"/>
              </w:rPr>
              <w:t>“</w:t>
            </w:r>
            <w:r>
              <w:rPr>
                <w:rFonts w:ascii="Arial" w:cs="Arial" w:eastAsia="Arial" w:hAnsi="Arial"/>
                <w:sz w:val="18"/>
                <w:szCs w:val="18"/>
                <w:b w:val="1"/>
                <w:bCs w:val="1"/>
                <w:color w:val="auto"/>
                <w:w w:val="98"/>
              </w:rPr>
              <w:t>PDP</w:t>
            </w:r>
            <w:r>
              <w:rPr>
                <w:rFonts w:ascii="Arial" w:cs="Arial" w:eastAsia="Arial" w:hAnsi="Arial"/>
                <w:sz w:val="18"/>
                <w:szCs w:val="18"/>
                <w:color w:val="auto"/>
                <w:w w:val="98"/>
              </w:rPr>
              <w:t>”</w:t>
            </w:r>
            <w:r>
              <w:rPr>
                <w:rFonts w:ascii="Arial" w:cs="Arial" w:eastAsia="Arial" w:hAnsi="Arial"/>
                <w:sz w:val="18"/>
                <w:szCs w:val="18"/>
                <w:b w:val="1"/>
                <w:bCs w:val="1"/>
                <w:color w:val="auto"/>
                <w:w w:val="98"/>
              </w:rPr>
              <w:t>)</w:t>
            </w:r>
          </w:p>
        </w:tc>
        <w:tc>
          <w:tcPr>
            <w:tcW w:w="744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460" w:type="dxa"/>
            <w:vAlign w:val="bottom"/>
          </w:tcPr>
          <w:p>
            <w:pPr>
              <w:spacing w:after="0" w:line="201" w:lineRule="exact"/>
              <w:rPr>
                <w:sz w:val="20"/>
                <w:szCs w:val="20"/>
                <w:color w:val="auto"/>
              </w:rPr>
            </w:pPr>
            <w:r>
              <w:rPr>
                <w:rFonts w:ascii="Arial" w:cs="Arial" w:eastAsia="Arial" w:hAnsi="Arial"/>
                <w:sz w:val="18"/>
                <w:szCs w:val="18"/>
                <w:b w:val="1"/>
                <w:bCs w:val="1"/>
                <w:color w:val="auto"/>
                <w:w w:val="98"/>
              </w:rPr>
              <w:t>Proved Reserves</w:t>
            </w:r>
          </w:p>
        </w:tc>
        <w:tc>
          <w:tcPr>
            <w:tcW w:w="7440" w:type="dxa"/>
            <w:vAlign w:val="bottom"/>
          </w:tcPr>
          <w:p>
            <w:pPr>
              <w:ind w:left="80"/>
              <w:spacing w:after="0" w:line="201" w:lineRule="exact"/>
              <w:rPr>
                <w:sz w:val="20"/>
                <w:szCs w:val="20"/>
                <w:color w:val="auto"/>
              </w:rPr>
            </w:pPr>
            <w:r>
              <w:rPr>
                <w:rFonts w:ascii="Arial" w:cs="Arial" w:eastAsia="Arial" w:hAnsi="Arial"/>
                <w:sz w:val="18"/>
                <w:szCs w:val="18"/>
                <w:color w:val="auto"/>
                <w:w w:val="92"/>
              </w:rPr>
              <w:t>Estimated quantities of oil, natural gas, and NGLs which geologic and engineering data demonstrate</w:t>
            </w: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440" w:type="dxa"/>
            <w:vAlign w:val="bottom"/>
          </w:tcPr>
          <w:p>
            <w:pPr>
              <w:ind w:left="80"/>
              <w:spacing w:after="0"/>
              <w:rPr>
                <w:sz w:val="20"/>
                <w:szCs w:val="20"/>
                <w:color w:val="auto"/>
              </w:rPr>
            </w:pPr>
            <w:r>
              <w:rPr>
                <w:rFonts w:ascii="Arial" w:cs="Arial" w:eastAsia="Arial" w:hAnsi="Arial"/>
                <w:sz w:val="18"/>
                <w:szCs w:val="18"/>
                <w:color w:val="auto"/>
                <w:w w:val="96"/>
              </w:rPr>
              <w:t>with reasonable certainty to be recoverable in future years from known reservoirs under existing</w:t>
            </w: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440" w:type="dxa"/>
            <w:vAlign w:val="bottom"/>
          </w:tcPr>
          <w:p>
            <w:pPr>
              <w:ind w:left="80"/>
              <w:spacing w:after="0"/>
              <w:rPr>
                <w:sz w:val="20"/>
                <w:szCs w:val="20"/>
                <w:color w:val="auto"/>
              </w:rPr>
            </w:pPr>
            <w:r>
              <w:rPr>
                <w:rFonts w:ascii="Arial" w:cs="Arial" w:eastAsia="Arial" w:hAnsi="Arial"/>
                <w:sz w:val="18"/>
                <w:szCs w:val="18"/>
                <w:color w:val="auto"/>
                <w:w w:val="98"/>
              </w:rPr>
              <w:t>economic, operating methods, and government regulations prior to the time at which contracts</w:t>
            </w: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440" w:type="dxa"/>
            <w:vAlign w:val="bottom"/>
          </w:tcPr>
          <w:p>
            <w:pPr>
              <w:ind w:left="80"/>
              <w:spacing w:after="0"/>
              <w:rPr>
                <w:sz w:val="20"/>
                <w:szCs w:val="20"/>
                <w:color w:val="auto"/>
              </w:rPr>
            </w:pPr>
            <w:r>
              <w:rPr>
                <w:rFonts w:ascii="Arial" w:cs="Arial" w:eastAsia="Arial" w:hAnsi="Arial"/>
                <w:sz w:val="18"/>
                <w:szCs w:val="18"/>
                <w:color w:val="auto"/>
                <w:w w:val="94"/>
              </w:rPr>
              <w:t>providing the right to operate expire, unless evidence indicates that renewal is reasonably certain,</w:t>
            </w: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440" w:type="dxa"/>
            <w:vAlign w:val="bottom"/>
          </w:tcPr>
          <w:p>
            <w:pPr>
              <w:ind w:left="80"/>
              <w:spacing w:after="0"/>
              <w:rPr>
                <w:sz w:val="20"/>
                <w:szCs w:val="20"/>
                <w:color w:val="auto"/>
              </w:rPr>
            </w:pPr>
            <w:r>
              <w:rPr>
                <w:rFonts w:ascii="Arial" w:cs="Arial" w:eastAsia="Arial" w:hAnsi="Arial"/>
                <w:sz w:val="18"/>
                <w:szCs w:val="18"/>
                <w:color w:val="auto"/>
                <w:w w:val="92"/>
              </w:rPr>
              <w:t>regardless of whether deterministic or probabilistic methods are used for the estimation. The project</w:t>
            </w: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440" w:type="dxa"/>
            <w:vAlign w:val="bottom"/>
          </w:tcPr>
          <w:p>
            <w:pPr>
              <w:ind w:left="80"/>
              <w:spacing w:after="0"/>
              <w:rPr>
                <w:sz w:val="20"/>
                <w:szCs w:val="20"/>
                <w:color w:val="auto"/>
              </w:rPr>
            </w:pPr>
            <w:r>
              <w:rPr>
                <w:rFonts w:ascii="Arial" w:cs="Arial" w:eastAsia="Arial" w:hAnsi="Arial"/>
                <w:sz w:val="18"/>
                <w:szCs w:val="18"/>
                <w:color w:val="auto"/>
                <w:w w:val="91"/>
              </w:rPr>
              <w:t>to extract the hydrocarbons must have commenced or the operator must be reasonably certain that it</w:t>
            </w:r>
          </w:p>
        </w:tc>
      </w:tr>
      <w:tr>
        <w:trPr>
          <w:trHeight w:val="230"/>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7440" w:type="dxa"/>
            <w:vAlign w:val="bottom"/>
          </w:tcPr>
          <w:p>
            <w:pPr>
              <w:ind w:left="80"/>
              <w:spacing w:after="0"/>
              <w:rPr>
                <w:sz w:val="20"/>
                <w:szCs w:val="20"/>
                <w:color w:val="auto"/>
              </w:rPr>
            </w:pPr>
            <w:r>
              <w:rPr>
                <w:rFonts w:ascii="Arial" w:cs="Arial" w:eastAsia="Arial" w:hAnsi="Arial"/>
                <w:sz w:val="18"/>
                <w:szCs w:val="18"/>
                <w:color w:val="auto"/>
              </w:rPr>
              <w:t>will commence the project within a reasonable time.*</w:t>
            </w:r>
          </w:p>
        </w:tc>
      </w:tr>
      <w:tr>
        <w:trPr>
          <w:trHeight w:val="648"/>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440" w:type="dxa"/>
            <w:vAlign w:val="bottom"/>
          </w:tcPr>
          <w:p>
            <w:pPr>
              <w:ind w:left="2940"/>
              <w:spacing w:after="0"/>
              <w:rPr>
                <w:sz w:val="20"/>
                <w:szCs w:val="20"/>
                <w:color w:val="auto"/>
              </w:rPr>
            </w:pPr>
            <w:r>
              <w:rPr>
                <w:rFonts w:ascii="Arial" w:cs="Arial" w:eastAsia="Arial" w:hAnsi="Arial"/>
                <w:sz w:val="18"/>
                <w:szCs w:val="18"/>
                <w:color w:val="auto"/>
              </w:rPr>
              <w:t>v</w:t>
            </w:r>
          </w:p>
        </w:tc>
      </w:tr>
      <w:tr>
        <w:trPr>
          <w:trHeight w:val="560"/>
        </w:trPr>
        <w:tc>
          <w:tcPr>
            <w:tcW w:w="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7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Proved</w:t>
            </w:r>
          </w:p>
        </w:tc>
        <w:tc>
          <w:tcPr>
            <w:tcW w:w="7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5"/>
              </w:rPr>
              <w:t>Proved Reserves that are expected to be recovered from new wells on undrilled acreage, or from</w:t>
            </w:r>
          </w:p>
        </w:tc>
      </w:tr>
      <w:tr>
        <w:trPr>
          <w:trHeight w:val="216"/>
        </w:trPr>
        <w:tc>
          <w:tcPr>
            <w:tcW w:w="1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Undeveloped</w:t>
            </w:r>
          </w:p>
        </w:tc>
        <w:tc>
          <w:tcPr>
            <w:tcW w:w="7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6"/>
              </w:rPr>
              <w:t>existing wells where a relatively major expenditure is required for recompletion.* (i) Reserves on</w:t>
            </w:r>
          </w:p>
        </w:tc>
      </w:tr>
      <w:tr>
        <w:trPr>
          <w:trHeight w:val="220"/>
        </w:trPr>
        <w:tc>
          <w:tcPr>
            <w:tcW w:w="1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Reserves (“PUD”)</w:t>
            </w:r>
          </w:p>
        </w:tc>
        <w:tc>
          <w:tcPr>
            <w:tcW w:w="7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6"/>
              </w:rPr>
              <w:t>undrilled acreage shall be limited to those directly offsetting development spacing areas that are</w:t>
            </w:r>
          </w:p>
        </w:tc>
      </w:tr>
      <w:tr>
        <w:trPr>
          <w:trHeight w:val="216"/>
        </w:trPr>
        <w:tc>
          <w:tcPr>
            <w:tcW w:w="1480" w:type="dxa"/>
            <w:vAlign w:val="bottom"/>
            <w:shd w:val="clear" w:color="auto" w:fill="CCEEFF"/>
          </w:tcPr>
          <w:p>
            <w:pPr>
              <w:spacing w:after="0"/>
              <w:rPr>
                <w:sz w:val="18"/>
                <w:szCs w:val="18"/>
                <w:color w:val="auto"/>
              </w:rPr>
            </w:pPr>
          </w:p>
        </w:tc>
        <w:tc>
          <w:tcPr>
            <w:tcW w:w="7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reasonably certain of production when drilled, unless evidence using reliable technology exists that</w:t>
            </w:r>
          </w:p>
        </w:tc>
      </w:tr>
      <w:tr>
        <w:trPr>
          <w:trHeight w:val="216"/>
        </w:trPr>
        <w:tc>
          <w:tcPr>
            <w:tcW w:w="1480" w:type="dxa"/>
            <w:vAlign w:val="bottom"/>
            <w:shd w:val="clear" w:color="auto" w:fill="CCEEFF"/>
          </w:tcPr>
          <w:p>
            <w:pPr>
              <w:spacing w:after="0"/>
              <w:rPr>
                <w:sz w:val="18"/>
                <w:szCs w:val="18"/>
                <w:color w:val="auto"/>
              </w:rPr>
            </w:pPr>
          </w:p>
        </w:tc>
        <w:tc>
          <w:tcPr>
            <w:tcW w:w="7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establishes reasonable certainty of economic producibility at greater distances. (ii) Undrilled</w:t>
            </w:r>
          </w:p>
        </w:tc>
      </w:tr>
      <w:tr>
        <w:trPr>
          <w:trHeight w:val="216"/>
        </w:trPr>
        <w:tc>
          <w:tcPr>
            <w:tcW w:w="1480" w:type="dxa"/>
            <w:vAlign w:val="bottom"/>
            <w:shd w:val="clear" w:color="auto" w:fill="CCEEFF"/>
          </w:tcPr>
          <w:p>
            <w:pPr>
              <w:spacing w:after="0"/>
              <w:rPr>
                <w:sz w:val="18"/>
                <w:szCs w:val="18"/>
                <w:color w:val="auto"/>
              </w:rPr>
            </w:pPr>
          </w:p>
        </w:tc>
        <w:tc>
          <w:tcPr>
            <w:tcW w:w="7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5"/>
              </w:rPr>
              <w:t>locations can be classified as having undeveloped reserves only if a development plan has been</w:t>
            </w:r>
          </w:p>
        </w:tc>
      </w:tr>
      <w:tr>
        <w:trPr>
          <w:trHeight w:val="216"/>
        </w:trPr>
        <w:tc>
          <w:tcPr>
            <w:tcW w:w="1480" w:type="dxa"/>
            <w:vAlign w:val="bottom"/>
            <w:shd w:val="clear" w:color="auto" w:fill="CCEEFF"/>
          </w:tcPr>
          <w:p>
            <w:pPr>
              <w:spacing w:after="0"/>
              <w:rPr>
                <w:sz w:val="18"/>
                <w:szCs w:val="18"/>
                <w:color w:val="auto"/>
              </w:rPr>
            </w:pPr>
          </w:p>
        </w:tc>
        <w:tc>
          <w:tcPr>
            <w:tcW w:w="7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adopted indicating that they are scheduled to be drilled within five years, unless the specific</w:t>
            </w:r>
          </w:p>
        </w:tc>
      </w:tr>
      <w:tr>
        <w:trPr>
          <w:trHeight w:val="216"/>
        </w:trPr>
        <w:tc>
          <w:tcPr>
            <w:tcW w:w="1480" w:type="dxa"/>
            <w:vAlign w:val="bottom"/>
            <w:shd w:val="clear" w:color="auto" w:fill="CCEEFF"/>
          </w:tcPr>
          <w:p>
            <w:pPr>
              <w:spacing w:after="0"/>
              <w:rPr>
                <w:sz w:val="18"/>
                <w:szCs w:val="18"/>
                <w:color w:val="auto"/>
              </w:rPr>
            </w:pPr>
          </w:p>
        </w:tc>
        <w:tc>
          <w:tcPr>
            <w:tcW w:w="7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5"/>
              </w:rPr>
              <w:t>circumstances justify a longer time. (iii) Under no circumstances shall estimates for undeveloped</w:t>
            </w:r>
          </w:p>
        </w:tc>
      </w:tr>
      <w:tr>
        <w:trPr>
          <w:trHeight w:val="216"/>
        </w:trPr>
        <w:tc>
          <w:tcPr>
            <w:tcW w:w="1480" w:type="dxa"/>
            <w:vAlign w:val="bottom"/>
            <w:shd w:val="clear" w:color="auto" w:fill="CCEEFF"/>
          </w:tcPr>
          <w:p>
            <w:pPr>
              <w:spacing w:after="0"/>
              <w:rPr>
                <w:sz w:val="18"/>
                <w:szCs w:val="18"/>
                <w:color w:val="auto"/>
              </w:rPr>
            </w:pPr>
          </w:p>
        </w:tc>
        <w:tc>
          <w:tcPr>
            <w:tcW w:w="7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4"/>
              </w:rPr>
              <w:t>reserves be attributable to any acreage for which an application of fluid injection or other improved</w:t>
            </w:r>
          </w:p>
        </w:tc>
      </w:tr>
      <w:tr>
        <w:trPr>
          <w:trHeight w:val="216"/>
        </w:trPr>
        <w:tc>
          <w:tcPr>
            <w:tcW w:w="1480" w:type="dxa"/>
            <w:vAlign w:val="bottom"/>
            <w:shd w:val="clear" w:color="auto" w:fill="CCEEFF"/>
          </w:tcPr>
          <w:p>
            <w:pPr>
              <w:spacing w:after="0"/>
              <w:rPr>
                <w:sz w:val="18"/>
                <w:szCs w:val="18"/>
                <w:color w:val="auto"/>
              </w:rPr>
            </w:pPr>
          </w:p>
        </w:tc>
        <w:tc>
          <w:tcPr>
            <w:tcW w:w="7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4"/>
              </w:rPr>
              <w:t>recovery technique is contemplated, unless such techniques have been proved effective by actual</w:t>
            </w:r>
          </w:p>
        </w:tc>
      </w:tr>
      <w:tr>
        <w:trPr>
          <w:trHeight w:val="216"/>
        </w:trPr>
        <w:tc>
          <w:tcPr>
            <w:tcW w:w="1480" w:type="dxa"/>
            <w:vAlign w:val="bottom"/>
            <w:shd w:val="clear" w:color="auto" w:fill="CCEEFF"/>
          </w:tcPr>
          <w:p>
            <w:pPr>
              <w:spacing w:after="0"/>
              <w:rPr>
                <w:sz w:val="18"/>
                <w:szCs w:val="18"/>
                <w:color w:val="auto"/>
              </w:rPr>
            </w:pPr>
          </w:p>
        </w:tc>
        <w:tc>
          <w:tcPr>
            <w:tcW w:w="7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projects in the same reservoir or an analogous reservoir or by other evidence using reliable</w:t>
            </w:r>
          </w:p>
        </w:tc>
      </w:tr>
      <w:tr>
        <w:trPr>
          <w:trHeight w:val="230"/>
        </w:trPr>
        <w:tc>
          <w:tcPr>
            <w:tcW w:w="1480" w:type="dxa"/>
            <w:vAlign w:val="bottom"/>
            <w:shd w:val="clear" w:color="auto" w:fill="CCEEFF"/>
          </w:tcPr>
          <w:p>
            <w:pPr>
              <w:spacing w:after="0"/>
              <w:rPr>
                <w:sz w:val="20"/>
                <w:szCs w:val="20"/>
                <w:color w:val="auto"/>
              </w:rPr>
            </w:pPr>
          </w:p>
        </w:tc>
        <w:tc>
          <w:tcPr>
            <w:tcW w:w="7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technology establishing reasonable certainty.</w:t>
            </w:r>
          </w:p>
        </w:tc>
      </w:tr>
      <w:tr>
        <w:trPr>
          <w:trHeight w:val="202"/>
        </w:trPr>
        <w:tc>
          <w:tcPr>
            <w:tcW w:w="1480" w:type="dxa"/>
            <w:vAlign w:val="bottom"/>
          </w:tcPr>
          <w:p>
            <w:pPr>
              <w:spacing w:after="0" w:line="201" w:lineRule="exact"/>
              <w:rPr>
                <w:sz w:val="20"/>
                <w:szCs w:val="20"/>
                <w:color w:val="auto"/>
              </w:rPr>
            </w:pPr>
            <w:r>
              <w:rPr>
                <w:rFonts w:ascii="Arial" w:cs="Arial" w:eastAsia="Arial" w:hAnsi="Arial"/>
                <w:sz w:val="18"/>
                <w:szCs w:val="18"/>
                <w:b w:val="1"/>
                <w:bCs w:val="1"/>
                <w:color w:val="auto"/>
              </w:rPr>
              <w:t>Present Value</w:t>
            </w:r>
          </w:p>
        </w:tc>
        <w:tc>
          <w:tcPr>
            <w:tcW w:w="7420" w:type="dxa"/>
            <w:vAlign w:val="bottom"/>
          </w:tcPr>
          <w:p>
            <w:pPr>
              <w:ind w:left="60"/>
              <w:spacing w:after="0" w:line="201" w:lineRule="exact"/>
              <w:rPr>
                <w:sz w:val="20"/>
                <w:szCs w:val="20"/>
                <w:color w:val="auto"/>
              </w:rPr>
            </w:pPr>
            <w:r>
              <w:rPr>
                <w:rFonts w:ascii="Arial" w:cs="Arial" w:eastAsia="Arial" w:hAnsi="Arial"/>
                <w:sz w:val="18"/>
                <w:szCs w:val="18"/>
                <w:color w:val="auto"/>
                <w:w w:val="90"/>
              </w:rPr>
              <w:t>When used with respect to oil and natural gas reserves, present value means the estimated future net</w:t>
            </w:r>
          </w:p>
        </w:tc>
      </w:tr>
      <w:tr>
        <w:trPr>
          <w:trHeight w:val="216"/>
        </w:trPr>
        <w:tc>
          <w:tcPr>
            <w:tcW w:w="1480" w:type="dxa"/>
            <w:vAlign w:val="bottom"/>
          </w:tcPr>
          <w:p>
            <w:pPr>
              <w:spacing w:after="0"/>
              <w:rPr>
                <w:sz w:val="18"/>
                <w:szCs w:val="18"/>
                <w:color w:val="auto"/>
              </w:rPr>
            </w:pPr>
          </w:p>
        </w:tc>
        <w:tc>
          <w:tcPr>
            <w:tcW w:w="7420" w:type="dxa"/>
            <w:vAlign w:val="bottom"/>
          </w:tcPr>
          <w:p>
            <w:pPr>
              <w:ind w:left="60"/>
              <w:spacing w:after="0"/>
              <w:rPr>
                <w:sz w:val="20"/>
                <w:szCs w:val="20"/>
                <w:color w:val="auto"/>
              </w:rPr>
            </w:pPr>
            <w:r>
              <w:rPr>
                <w:rFonts w:ascii="Arial" w:cs="Arial" w:eastAsia="Arial" w:hAnsi="Arial"/>
                <w:sz w:val="18"/>
                <w:szCs w:val="18"/>
                <w:color w:val="auto"/>
                <w:w w:val="92"/>
              </w:rPr>
              <w:t>revenues computed by applying current prices of oil and natural gas reserves (with consideration of</w:t>
            </w:r>
          </w:p>
        </w:tc>
      </w:tr>
      <w:tr>
        <w:trPr>
          <w:trHeight w:val="216"/>
        </w:trPr>
        <w:tc>
          <w:tcPr>
            <w:tcW w:w="1480" w:type="dxa"/>
            <w:vAlign w:val="bottom"/>
          </w:tcPr>
          <w:p>
            <w:pPr>
              <w:spacing w:after="0"/>
              <w:rPr>
                <w:sz w:val="18"/>
                <w:szCs w:val="18"/>
                <w:color w:val="auto"/>
              </w:rPr>
            </w:pPr>
          </w:p>
        </w:tc>
        <w:tc>
          <w:tcPr>
            <w:tcW w:w="7420" w:type="dxa"/>
            <w:vAlign w:val="bottom"/>
          </w:tcPr>
          <w:p>
            <w:pPr>
              <w:ind w:left="60"/>
              <w:spacing w:after="0"/>
              <w:rPr>
                <w:sz w:val="20"/>
                <w:szCs w:val="20"/>
                <w:color w:val="auto"/>
              </w:rPr>
            </w:pPr>
            <w:r>
              <w:rPr>
                <w:rFonts w:ascii="Arial" w:cs="Arial" w:eastAsia="Arial" w:hAnsi="Arial"/>
                <w:sz w:val="18"/>
                <w:szCs w:val="18"/>
                <w:color w:val="auto"/>
              </w:rPr>
              <w:t>price changes only to the extent provided by contractual arrangements) to estimated future</w:t>
            </w:r>
          </w:p>
        </w:tc>
      </w:tr>
      <w:tr>
        <w:trPr>
          <w:trHeight w:val="216"/>
        </w:trPr>
        <w:tc>
          <w:tcPr>
            <w:tcW w:w="1480" w:type="dxa"/>
            <w:vAlign w:val="bottom"/>
          </w:tcPr>
          <w:p>
            <w:pPr>
              <w:spacing w:after="0"/>
              <w:rPr>
                <w:sz w:val="18"/>
                <w:szCs w:val="18"/>
                <w:color w:val="auto"/>
              </w:rPr>
            </w:pPr>
          </w:p>
        </w:tc>
        <w:tc>
          <w:tcPr>
            <w:tcW w:w="7420" w:type="dxa"/>
            <w:vAlign w:val="bottom"/>
          </w:tcPr>
          <w:p>
            <w:pPr>
              <w:ind w:left="60"/>
              <w:spacing w:after="0"/>
              <w:rPr>
                <w:sz w:val="20"/>
                <w:szCs w:val="20"/>
                <w:color w:val="auto"/>
              </w:rPr>
            </w:pPr>
            <w:r>
              <w:rPr>
                <w:rFonts w:ascii="Arial" w:cs="Arial" w:eastAsia="Arial" w:hAnsi="Arial"/>
                <w:sz w:val="18"/>
                <w:szCs w:val="18"/>
                <w:color w:val="auto"/>
                <w:w w:val="90"/>
              </w:rPr>
              <w:t>production of proved oil and natural gas reserves as of the date of the latest balance sheet presented,</w:t>
            </w:r>
          </w:p>
        </w:tc>
      </w:tr>
      <w:tr>
        <w:trPr>
          <w:trHeight w:val="216"/>
        </w:trPr>
        <w:tc>
          <w:tcPr>
            <w:tcW w:w="1480" w:type="dxa"/>
            <w:vAlign w:val="bottom"/>
          </w:tcPr>
          <w:p>
            <w:pPr>
              <w:spacing w:after="0"/>
              <w:rPr>
                <w:sz w:val="18"/>
                <w:szCs w:val="18"/>
                <w:color w:val="auto"/>
              </w:rPr>
            </w:pPr>
          </w:p>
        </w:tc>
        <w:tc>
          <w:tcPr>
            <w:tcW w:w="7420" w:type="dxa"/>
            <w:vAlign w:val="bottom"/>
          </w:tcPr>
          <w:p>
            <w:pPr>
              <w:ind w:left="60"/>
              <w:spacing w:after="0"/>
              <w:rPr>
                <w:sz w:val="20"/>
                <w:szCs w:val="20"/>
                <w:color w:val="auto"/>
              </w:rPr>
            </w:pPr>
            <w:r>
              <w:rPr>
                <w:rFonts w:ascii="Arial" w:cs="Arial" w:eastAsia="Arial" w:hAnsi="Arial"/>
                <w:sz w:val="18"/>
                <w:szCs w:val="18"/>
                <w:color w:val="auto"/>
              </w:rPr>
              <w:t>less estimated future expenditures (based on current costs to be incurred in developing and</w:t>
            </w:r>
          </w:p>
        </w:tc>
      </w:tr>
      <w:tr>
        <w:trPr>
          <w:trHeight w:val="216"/>
        </w:trPr>
        <w:tc>
          <w:tcPr>
            <w:tcW w:w="1480" w:type="dxa"/>
            <w:vAlign w:val="bottom"/>
          </w:tcPr>
          <w:p>
            <w:pPr>
              <w:spacing w:after="0"/>
              <w:rPr>
                <w:sz w:val="18"/>
                <w:szCs w:val="18"/>
                <w:color w:val="auto"/>
              </w:rPr>
            </w:pPr>
          </w:p>
        </w:tc>
        <w:tc>
          <w:tcPr>
            <w:tcW w:w="7420" w:type="dxa"/>
            <w:vAlign w:val="bottom"/>
          </w:tcPr>
          <w:p>
            <w:pPr>
              <w:ind w:left="60"/>
              <w:spacing w:after="0"/>
              <w:rPr>
                <w:sz w:val="20"/>
                <w:szCs w:val="20"/>
                <w:color w:val="auto"/>
              </w:rPr>
            </w:pPr>
            <w:r>
              <w:rPr>
                <w:rFonts w:ascii="Arial" w:cs="Arial" w:eastAsia="Arial" w:hAnsi="Arial"/>
                <w:sz w:val="18"/>
                <w:szCs w:val="18"/>
                <w:color w:val="auto"/>
                <w:w w:val="96"/>
              </w:rPr>
              <w:t>producing the proved reserves) computed using a discount factor and assuming continuation of</w:t>
            </w:r>
          </w:p>
        </w:tc>
      </w:tr>
      <w:tr>
        <w:trPr>
          <w:trHeight w:val="230"/>
        </w:trPr>
        <w:tc>
          <w:tcPr>
            <w:tcW w:w="1480" w:type="dxa"/>
            <w:vAlign w:val="bottom"/>
          </w:tcPr>
          <w:p>
            <w:pPr>
              <w:spacing w:after="0"/>
              <w:rPr>
                <w:sz w:val="20"/>
                <w:szCs w:val="20"/>
                <w:color w:val="auto"/>
              </w:rPr>
            </w:pPr>
          </w:p>
        </w:tc>
        <w:tc>
          <w:tcPr>
            <w:tcW w:w="7420" w:type="dxa"/>
            <w:vAlign w:val="bottom"/>
          </w:tcPr>
          <w:p>
            <w:pPr>
              <w:ind w:left="60"/>
              <w:spacing w:after="0"/>
              <w:rPr>
                <w:sz w:val="20"/>
                <w:szCs w:val="20"/>
                <w:color w:val="auto"/>
              </w:rPr>
            </w:pPr>
            <w:r>
              <w:rPr>
                <w:rFonts w:ascii="Arial" w:cs="Arial" w:eastAsia="Arial" w:hAnsi="Arial"/>
                <w:sz w:val="18"/>
                <w:szCs w:val="18"/>
                <w:color w:val="auto"/>
              </w:rPr>
              <w:t>existing economic conditions.</w:t>
            </w:r>
          </w:p>
        </w:tc>
      </w:tr>
      <w:tr>
        <w:trPr>
          <w:trHeight w:val="216"/>
        </w:trPr>
        <w:tc>
          <w:tcPr>
            <w:tcW w:w="1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Productive Well</w:t>
            </w:r>
          </w:p>
        </w:tc>
        <w:tc>
          <w:tcPr>
            <w:tcW w:w="7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 well that is producing oil or natural gas or that is capable of production.</w:t>
            </w:r>
          </w:p>
        </w:tc>
      </w:tr>
      <w:tr>
        <w:trPr>
          <w:trHeight w:val="202"/>
        </w:trPr>
        <w:tc>
          <w:tcPr>
            <w:tcW w:w="1480" w:type="dxa"/>
            <w:vAlign w:val="bottom"/>
          </w:tcPr>
          <w:p>
            <w:pPr>
              <w:spacing w:after="0" w:line="201" w:lineRule="exact"/>
              <w:rPr>
                <w:sz w:val="20"/>
                <w:szCs w:val="20"/>
                <w:color w:val="auto"/>
              </w:rPr>
            </w:pPr>
            <w:r>
              <w:rPr>
                <w:rFonts w:ascii="Arial" w:cs="Arial" w:eastAsia="Arial" w:hAnsi="Arial"/>
                <w:sz w:val="18"/>
                <w:szCs w:val="18"/>
                <w:b w:val="1"/>
                <w:bCs w:val="1"/>
                <w:color w:val="auto"/>
              </w:rPr>
              <w:t>PV-10</w:t>
            </w:r>
          </w:p>
        </w:tc>
        <w:tc>
          <w:tcPr>
            <w:tcW w:w="7420" w:type="dxa"/>
            <w:vAlign w:val="bottom"/>
          </w:tcPr>
          <w:p>
            <w:pPr>
              <w:ind w:left="60"/>
              <w:spacing w:after="0" w:line="201" w:lineRule="exact"/>
              <w:rPr>
                <w:sz w:val="20"/>
                <w:szCs w:val="20"/>
                <w:color w:val="auto"/>
              </w:rPr>
            </w:pPr>
            <w:r>
              <w:rPr>
                <w:rFonts w:ascii="Arial" w:cs="Arial" w:eastAsia="Arial" w:hAnsi="Arial"/>
                <w:sz w:val="18"/>
                <w:szCs w:val="18"/>
                <w:color w:val="auto"/>
                <w:w w:val="95"/>
              </w:rPr>
              <w:t>Means the present value, discounted at 10% per annum, of future net revenues (estimated future</w:t>
            </w:r>
          </w:p>
        </w:tc>
      </w:tr>
      <w:tr>
        <w:trPr>
          <w:trHeight w:val="216"/>
        </w:trPr>
        <w:tc>
          <w:tcPr>
            <w:tcW w:w="1480" w:type="dxa"/>
            <w:vAlign w:val="bottom"/>
          </w:tcPr>
          <w:p>
            <w:pPr>
              <w:spacing w:after="0"/>
              <w:rPr>
                <w:sz w:val="18"/>
                <w:szCs w:val="18"/>
                <w:color w:val="auto"/>
              </w:rPr>
            </w:pPr>
          </w:p>
        </w:tc>
        <w:tc>
          <w:tcPr>
            <w:tcW w:w="7420" w:type="dxa"/>
            <w:vAlign w:val="bottom"/>
          </w:tcPr>
          <w:p>
            <w:pPr>
              <w:ind w:left="60"/>
              <w:spacing w:after="0"/>
              <w:rPr>
                <w:sz w:val="20"/>
                <w:szCs w:val="20"/>
                <w:color w:val="auto"/>
              </w:rPr>
            </w:pPr>
            <w:r>
              <w:rPr>
                <w:rFonts w:ascii="Arial" w:cs="Arial" w:eastAsia="Arial" w:hAnsi="Arial"/>
                <w:sz w:val="18"/>
                <w:szCs w:val="18"/>
                <w:color w:val="auto"/>
                <w:w w:val="92"/>
              </w:rPr>
              <w:t>gross revenues less estimated future costs of production, development, and asset retirement costs)</w:t>
            </w:r>
          </w:p>
        </w:tc>
      </w:tr>
      <w:tr>
        <w:trPr>
          <w:trHeight w:val="216"/>
        </w:trPr>
        <w:tc>
          <w:tcPr>
            <w:tcW w:w="1480" w:type="dxa"/>
            <w:vAlign w:val="bottom"/>
          </w:tcPr>
          <w:p>
            <w:pPr>
              <w:spacing w:after="0"/>
              <w:rPr>
                <w:sz w:val="18"/>
                <w:szCs w:val="18"/>
                <w:color w:val="auto"/>
              </w:rPr>
            </w:pPr>
          </w:p>
        </w:tc>
        <w:tc>
          <w:tcPr>
            <w:tcW w:w="7420" w:type="dxa"/>
            <w:vAlign w:val="bottom"/>
          </w:tcPr>
          <w:p>
            <w:pPr>
              <w:ind w:left="60"/>
              <w:spacing w:after="0"/>
              <w:rPr>
                <w:sz w:val="20"/>
                <w:szCs w:val="20"/>
                <w:color w:val="auto"/>
              </w:rPr>
            </w:pPr>
            <w:r>
              <w:rPr>
                <w:rFonts w:ascii="Arial" w:cs="Arial" w:eastAsia="Arial" w:hAnsi="Arial"/>
                <w:sz w:val="18"/>
                <w:szCs w:val="18"/>
                <w:color w:val="auto"/>
                <w:w w:val="93"/>
              </w:rPr>
              <w:t>associated with reserves and is not necessarily the same as market value. PV-10 does not include</w:t>
            </w:r>
          </w:p>
        </w:tc>
      </w:tr>
      <w:tr>
        <w:trPr>
          <w:trHeight w:val="216"/>
        </w:trPr>
        <w:tc>
          <w:tcPr>
            <w:tcW w:w="1480" w:type="dxa"/>
            <w:vAlign w:val="bottom"/>
          </w:tcPr>
          <w:p>
            <w:pPr>
              <w:spacing w:after="0"/>
              <w:rPr>
                <w:sz w:val="18"/>
                <w:szCs w:val="18"/>
                <w:color w:val="auto"/>
              </w:rPr>
            </w:pPr>
          </w:p>
        </w:tc>
        <w:tc>
          <w:tcPr>
            <w:tcW w:w="7420" w:type="dxa"/>
            <w:vAlign w:val="bottom"/>
          </w:tcPr>
          <w:p>
            <w:pPr>
              <w:ind w:left="60"/>
              <w:spacing w:after="0"/>
              <w:rPr>
                <w:sz w:val="20"/>
                <w:szCs w:val="20"/>
                <w:color w:val="auto"/>
              </w:rPr>
            </w:pPr>
            <w:r>
              <w:rPr>
                <w:rFonts w:ascii="Arial" w:cs="Arial" w:eastAsia="Arial" w:hAnsi="Arial"/>
                <w:sz w:val="18"/>
                <w:szCs w:val="18"/>
                <w:color w:val="auto"/>
                <w:w w:val="91"/>
              </w:rPr>
              <w:t>estimated future income taxes. Unless otherwise noted, PV-10 is calculated using the pricing scheme</w:t>
            </w:r>
          </w:p>
        </w:tc>
      </w:tr>
      <w:tr>
        <w:trPr>
          <w:trHeight w:val="216"/>
        </w:trPr>
        <w:tc>
          <w:tcPr>
            <w:tcW w:w="1480" w:type="dxa"/>
            <w:vAlign w:val="bottom"/>
          </w:tcPr>
          <w:p>
            <w:pPr>
              <w:spacing w:after="0"/>
              <w:rPr>
                <w:sz w:val="18"/>
                <w:szCs w:val="18"/>
                <w:color w:val="auto"/>
              </w:rPr>
            </w:pPr>
          </w:p>
        </w:tc>
        <w:tc>
          <w:tcPr>
            <w:tcW w:w="7420" w:type="dxa"/>
            <w:vAlign w:val="bottom"/>
          </w:tcPr>
          <w:p>
            <w:pPr>
              <w:ind w:left="60"/>
              <w:spacing w:after="0"/>
              <w:rPr>
                <w:sz w:val="20"/>
                <w:szCs w:val="20"/>
                <w:color w:val="auto"/>
              </w:rPr>
            </w:pPr>
            <w:r>
              <w:rPr>
                <w:rFonts w:ascii="Arial" w:cs="Arial" w:eastAsia="Arial" w:hAnsi="Arial"/>
                <w:sz w:val="18"/>
                <w:szCs w:val="18"/>
                <w:color w:val="auto"/>
                <w:w w:val="97"/>
              </w:rPr>
              <w:t>as required by the Securities and Exchange Commission (“SEC”). PV-10 of proved reserves is</w:t>
            </w:r>
          </w:p>
        </w:tc>
      </w:tr>
      <w:tr>
        <w:trPr>
          <w:trHeight w:val="216"/>
        </w:trPr>
        <w:tc>
          <w:tcPr>
            <w:tcW w:w="1480" w:type="dxa"/>
            <w:vAlign w:val="bottom"/>
          </w:tcPr>
          <w:p>
            <w:pPr>
              <w:spacing w:after="0"/>
              <w:rPr>
                <w:sz w:val="18"/>
                <w:szCs w:val="18"/>
                <w:color w:val="auto"/>
              </w:rPr>
            </w:pPr>
          </w:p>
        </w:tc>
        <w:tc>
          <w:tcPr>
            <w:tcW w:w="7420" w:type="dxa"/>
            <w:vAlign w:val="bottom"/>
          </w:tcPr>
          <w:p>
            <w:pPr>
              <w:ind w:left="60"/>
              <w:spacing w:after="0"/>
              <w:rPr>
                <w:sz w:val="20"/>
                <w:szCs w:val="20"/>
                <w:color w:val="auto"/>
              </w:rPr>
            </w:pPr>
            <w:r>
              <w:rPr>
                <w:rFonts w:ascii="Arial" w:cs="Arial" w:eastAsia="Arial" w:hAnsi="Arial"/>
                <w:sz w:val="18"/>
                <w:szCs w:val="18"/>
                <w:color w:val="auto"/>
                <w:w w:val="90"/>
              </w:rPr>
              <w:t>calculated the same as the standardized measure of discounted future net cash flows, except that the</w:t>
            </w:r>
          </w:p>
        </w:tc>
      </w:tr>
      <w:tr>
        <w:trPr>
          <w:trHeight w:val="216"/>
        </w:trPr>
        <w:tc>
          <w:tcPr>
            <w:tcW w:w="1480" w:type="dxa"/>
            <w:vAlign w:val="bottom"/>
          </w:tcPr>
          <w:p>
            <w:pPr>
              <w:spacing w:after="0"/>
              <w:rPr>
                <w:sz w:val="18"/>
                <w:szCs w:val="18"/>
                <w:color w:val="auto"/>
              </w:rPr>
            </w:pPr>
          </w:p>
        </w:tc>
        <w:tc>
          <w:tcPr>
            <w:tcW w:w="7420" w:type="dxa"/>
            <w:vAlign w:val="bottom"/>
          </w:tcPr>
          <w:p>
            <w:pPr>
              <w:ind w:left="60"/>
              <w:spacing w:after="0"/>
              <w:rPr>
                <w:sz w:val="20"/>
                <w:szCs w:val="20"/>
                <w:color w:val="auto"/>
              </w:rPr>
            </w:pPr>
            <w:r>
              <w:rPr>
                <w:rFonts w:ascii="Arial" w:cs="Arial" w:eastAsia="Arial" w:hAnsi="Arial"/>
                <w:sz w:val="18"/>
                <w:szCs w:val="18"/>
                <w:color w:val="auto"/>
                <w:w w:val="94"/>
              </w:rPr>
              <w:t>standardized measure of discounted future net cash flows includes future estimated income taxes</w:t>
            </w:r>
          </w:p>
        </w:tc>
      </w:tr>
      <w:tr>
        <w:trPr>
          <w:trHeight w:val="216"/>
        </w:trPr>
        <w:tc>
          <w:tcPr>
            <w:tcW w:w="1480" w:type="dxa"/>
            <w:vAlign w:val="bottom"/>
          </w:tcPr>
          <w:p>
            <w:pPr>
              <w:spacing w:after="0"/>
              <w:rPr>
                <w:sz w:val="18"/>
                <w:szCs w:val="18"/>
                <w:color w:val="auto"/>
              </w:rPr>
            </w:pPr>
          </w:p>
        </w:tc>
        <w:tc>
          <w:tcPr>
            <w:tcW w:w="7420" w:type="dxa"/>
            <w:vAlign w:val="bottom"/>
          </w:tcPr>
          <w:p>
            <w:pPr>
              <w:ind w:left="60"/>
              <w:spacing w:after="0"/>
              <w:rPr>
                <w:sz w:val="20"/>
                <w:szCs w:val="20"/>
                <w:color w:val="auto"/>
              </w:rPr>
            </w:pPr>
            <w:r>
              <w:rPr>
                <w:rFonts w:ascii="Arial" w:cs="Arial" w:eastAsia="Arial" w:hAnsi="Arial"/>
                <w:sz w:val="18"/>
                <w:szCs w:val="18"/>
                <w:color w:val="auto"/>
                <w:w w:val="93"/>
              </w:rPr>
              <w:t>discounted at 10% per annum. See the definition of standardized measure of discounted future net</w:t>
            </w:r>
          </w:p>
        </w:tc>
      </w:tr>
      <w:tr>
        <w:trPr>
          <w:trHeight w:val="230"/>
        </w:trPr>
        <w:tc>
          <w:tcPr>
            <w:tcW w:w="1480" w:type="dxa"/>
            <w:vAlign w:val="bottom"/>
          </w:tcPr>
          <w:p>
            <w:pPr>
              <w:spacing w:after="0"/>
              <w:rPr>
                <w:sz w:val="20"/>
                <w:szCs w:val="20"/>
                <w:color w:val="auto"/>
              </w:rPr>
            </w:pPr>
          </w:p>
        </w:tc>
        <w:tc>
          <w:tcPr>
            <w:tcW w:w="7420" w:type="dxa"/>
            <w:vAlign w:val="bottom"/>
          </w:tcPr>
          <w:p>
            <w:pPr>
              <w:ind w:left="60"/>
              <w:spacing w:after="0"/>
              <w:rPr>
                <w:sz w:val="20"/>
                <w:szCs w:val="20"/>
                <w:color w:val="auto"/>
              </w:rPr>
            </w:pPr>
            <w:r>
              <w:rPr>
                <w:rFonts w:ascii="Arial" w:cs="Arial" w:eastAsia="Arial" w:hAnsi="Arial"/>
                <w:sz w:val="18"/>
                <w:szCs w:val="18"/>
                <w:color w:val="auto"/>
              </w:rPr>
              <w:t>cash flows.</w:t>
            </w:r>
          </w:p>
        </w:tc>
      </w:tr>
      <w:tr>
        <w:trPr>
          <w:trHeight w:val="202"/>
        </w:trPr>
        <w:tc>
          <w:tcPr>
            <w:tcW w:w="14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Reservoir</w:t>
            </w:r>
          </w:p>
        </w:tc>
        <w:tc>
          <w:tcPr>
            <w:tcW w:w="742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93"/>
              </w:rPr>
              <w:t>A porous and permeable underground formation containing a natural accumulation of producible oil</w:t>
            </w:r>
          </w:p>
        </w:tc>
      </w:tr>
      <w:tr>
        <w:trPr>
          <w:trHeight w:val="216"/>
        </w:trPr>
        <w:tc>
          <w:tcPr>
            <w:tcW w:w="1480" w:type="dxa"/>
            <w:vAlign w:val="bottom"/>
            <w:shd w:val="clear" w:color="auto" w:fill="CCEEFF"/>
          </w:tcPr>
          <w:p>
            <w:pPr>
              <w:spacing w:after="0"/>
              <w:rPr>
                <w:sz w:val="18"/>
                <w:szCs w:val="18"/>
                <w:color w:val="auto"/>
              </w:rPr>
            </w:pPr>
          </w:p>
        </w:tc>
        <w:tc>
          <w:tcPr>
            <w:tcW w:w="7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8"/>
              </w:rPr>
              <w:t>and/or natural gas that is confined by impermeable rock or water barriers and is individual and</w:t>
            </w:r>
          </w:p>
        </w:tc>
      </w:tr>
      <w:tr>
        <w:trPr>
          <w:trHeight w:val="230"/>
        </w:trPr>
        <w:tc>
          <w:tcPr>
            <w:tcW w:w="1480" w:type="dxa"/>
            <w:vAlign w:val="bottom"/>
            <w:shd w:val="clear" w:color="auto" w:fill="CCEEFF"/>
          </w:tcPr>
          <w:p>
            <w:pPr>
              <w:spacing w:after="0"/>
              <w:rPr>
                <w:sz w:val="20"/>
                <w:szCs w:val="20"/>
                <w:color w:val="auto"/>
              </w:rPr>
            </w:pPr>
          </w:p>
        </w:tc>
        <w:tc>
          <w:tcPr>
            <w:tcW w:w="7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separate from other reservoirs.</w:t>
            </w:r>
          </w:p>
        </w:tc>
      </w:tr>
      <w:tr>
        <w:trPr>
          <w:trHeight w:val="198"/>
        </w:trPr>
        <w:tc>
          <w:tcPr>
            <w:tcW w:w="1480" w:type="dxa"/>
            <w:vAlign w:val="bottom"/>
          </w:tcPr>
          <w:p>
            <w:pPr>
              <w:spacing w:after="0" w:line="198" w:lineRule="exact"/>
              <w:rPr>
                <w:sz w:val="20"/>
                <w:szCs w:val="20"/>
                <w:color w:val="auto"/>
              </w:rPr>
            </w:pPr>
            <w:r>
              <w:rPr>
                <w:rFonts w:ascii="Arial" w:cs="Arial" w:eastAsia="Arial" w:hAnsi="Arial"/>
                <w:sz w:val="18"/>
                <w:szCs w:val="18"/>
                <w:b w:val="1"/>
                <w:bCs w:val="1"/>
                <w:color w:val="auto"/>
              </w:rPr>
              <w:t>Royalty or</w:t>
            </w:r>
          </w:p>
        </w:tc>
        <w:tc>
          <w:tcPr>
            <w:tcW w:w="7420" w:type="dxa"/>
            <w:vAlign w:val="bottom"/>
          </w:tcPr>
          <w:p>
            <w:pPr>
              <w:ind w:left="60"/>
              <w:spacing w:after="0" w:line="198" w:lineRule="exact"/>
              <w:rPr>
                <w:sz w:val="20"/>
                <w:szCs w:val="20"/>
                <w:color w:val="auto"/>
              </w:rPr>
            </w:pPr>
            <w:r>
              <w:rPr>
                <w:rFonts w:ascii="Arial" w:cs="Arial" w:eastAsia="Arial" w:hAnsi="Arial"/>
                <w:sz w:val="18"/>
                <w:szCs w:val="18"/>
                <w:color w:val="auto"/>
                <w:w w:val="96"/>
              </w:rPr>
              <w:t>The mineral owner’s share of oil or natural gas production (typically between 1/8 and ¼), free of</w:t>
            </w:r>
          </w:p>
        </w:tc>
      </w:tr>
      <w:tr>
        <w:trPr>
          <w:trHeight w:val="220"/>
        </w:trPr>
        <w:tc>
          <w:tcPr>
            <w:tcW w:w="1480" w:type="dxa"/>
            <w:vAlign w:val="bottom"/>
          </w:tcPr>
          <w:p>
            <w:pPr>
              <w:spacing w:after="0"/>
              <w:rPr>
                <w:sz w:val="20"/>
                <w:szCs w:val="20"/>
                <w:color w:val="auto"/>
              </w:rPr>
            </w:pPr>
            <w:r>
              <w:rPr>
                <w:rFonts w:ascii="Arial" w:cs="Arial" w:eastAsia="Arial" w:hAnsi="Arial"/>
                <w:sz w:val="18"/>
                <w:szCs w:val="18"/>
                <w:b w:val="1"/>
                <w:bCs w:val="1"/>
                <w:color w:val="auto"/>
              </w:rPr>
              <w:t>Royalty Interest</w:t>
            </w:r>
          </w:p>
        </w:tc>
        <w:tc>
          <w:tcPr>
            <w:tcW w:w="7420" w:type="dxa"/>
            <w:vAlign w:val="bottom"/>
          </w:tcPr>
          <w:p>
            <w:pPr>
              <w:ind w:left="60"/>
              <w:spacing w:after="0"/>
              <w:rPr>
                <w:sz w:val="20"/>
                <w:szCs w:val="20"/>
                <w:color w:val="auto"/>
              </w:rPr>
            </w:pPr>
            <w:r>
              <w:rPr>
                <w:rFonts w:ascii="Arial" w:cs="Arial" w:eastAsia="Arial" w:hAnsi="Arial"/>
                <w:sz w:val="18"/>
                <w:szCs w:val="18"/>
                <w:color w:val="auto"/>
                <w:w w:val="90"/>
              </w:rPr>
              <w:t>costs, but subject to severance taxes unless the lessor is a government. In certain circumstances, the</w:t>
            </w:r>
          </w:p>
        </w:tc>
      </w:tr>
      <w:tr>
        <w:trPr>
          <w:trHeight w:val="216"/>
        </w:trPr>
        <w:tc>
          <w:tcPr>
            <w:tcW w:w="1480" w:type="dxa"/>
            <w:vAlign w:val="bottom"/>
          </w:tcPr>
          <w:p>
            <w:pPr>
              <w:spacing w:after="0"/>
              <w:rPr>
                <w:sz w:val="18"/>
                <w:szCs w:val="18"/>
                <w:color w:val="auto"/>
              </w:rPr>
            </w:pPr>
          </w:p>
        </w:tc>
        <w:tc>
          <w:tcPr>
            <w:tcW w:w="7420" w:type="dxa"/>
            <w:vAlign w:val="bottom"/>
          </w:tcPr>
          <w:p>
            <w:pPr>
              <w:ind w:left="60"/>
              <w:spacing w:after="0"/>
              <w:rPr>
                <w:sz w:val="20"/>
                <w:szCs w:val="20"/>
                <w:color w:val="auto"/>
              </w:rPr>
            </w:pPr>
            <w:r>
              <w:rPr>
                <w:rFonts w:ascii="Arial" w:cs="Arial" w:eastAsia="Arial" w:hAnsi="Arial"/>
                <w:sz w:val="18"/>
                <w:szCs w:val="18"/>
                <w:color w:val="auto"/>
                <w:w w:val="93"/>
              </w:rPr>
              <w:t>royalty owner bears a proportionate share of the costs of making the natural gas saleable, such as</w:t>
            </w:r>
          </w:p>
        </w:tc>
      </w:tr>
      <w:tr>
        <w:trPr>
          <w:trHeight w:val="230"/>
        </w:trPr>
        <w:tc>
          <w:tcPr>
            <w:tcW w:w="1480" w:type="dxa"/>
            <w:vAlign w:val="bottom"/>
          </w:tcPr>
          <w:p>
            <w:pPr>
              <w:spacing w:after="0"/>
              <w:rPr>
                <w:sz w:val="20"/>
                <w:szCs w:val="20"/>
                <w:color w:val="auto"/>
              </w:rPr>
            </w:pPr>
          </w:p>
        </w:tc>
        <w:tc>
          <w:tcPr>
            <w:tcW w:w="7420" w:type="dxa"/>
            <w:vAlign w:val="bottom"/>
          </w:tcPr>
          <w:p>
            <w:pPr>
              <w:ind w:left="60"/>
              <w:spacing w:after="0"/>
              <w:rPr>
                <w:sz w:val="20"/>
                <w:szCs w:val="20"/>
                <w:color w:val="auto"/>
              </w:rPr>
            </w:pPr>
            <w:r>
              <w:rPr>
                <w:rFonts w:ascii="Arial" w:cs="Arial" w:eastAsia="Arial" w:hAnsi="Arial"/>
                <w:sz w:val="18"/>
                <w:szCs w:val="18"/>
                <w:color w:val="auto"/>
              </w:rPr>
              <w:t>processing, compression, and gathering.</w:t>
            </w:r>
          </w:p>
        </w:tc>
      </w:tr>
      <w:tr>
        <w:trPr>
          <w:trHeight w:val="198"/>
        </w:trPr>
        <w:tc>
          <w:tcPr>
            <w:tcW w:w="14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Secondary</w:t>
            </w:r>
          </w:p>
        </w:tc>
        <w:tc>
          <w:tcPr>
            <w:tcW w:w="7420" w:type="dxa"/>
            <w:vAlign w:val="bottom"/>
            <w:shd w:val="clear" w:color="auto" w:fill="CCEEFF"/>
          </w:tcPr>
          <w:p>
            <w:pPr>
              <w:ind w:left="60"/>
              <w:spacing w:after="0" w:line="198" w:lineRule="exact"/>
              <w:rPr>
                <w:sz w:val="20"/>
                <w:szCs w:val="20"/>
                <w:color w:val="auto"/>
              </w:rPr>
            </w:pPr>
            <w:r>
              <w:rPr>
                <w:rFonts w:ascii="Arial" w:cs="Arial" w:eastAsia="Arial" w:hAnsi="Arial"/>
                <w:sz w:val="18"/>
                <w:szCs w:val="18"/>
                <w:color w:val="auto"/>
                <w:w w:val="99"/>
              </w:rPr>
              <w:t>The extraction of oil and natural gas from reservoirs utilizing water injection (waterflooding) in</w:t>
            </w:r>
          </w:p>
        </w:tc>
      </w:tr>
      <w:tr>
        <w:trPr>
          <w:trHeight w:val="220"/>
        </w:trPr>
        <w:tc>
          <w:tcPr>
            <w:tcW w:w="1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Recovery Method</w:t>
            </w:r>
          </w:p>
        </w:tc>
        <w:tc>
          <w:tcPr>
            <w:tcW w:w="7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5"/>
              </w:rPr>
              <w:t>order to maintain or increase reservoir pressure and direct the displacement of oil into producing</w:t>
            </w:r>
          </w:p>
        </w:tc>
      </w:tr>
      <w:tr>
        <w:trPr>
          <w:trHeight w:val="230"/>
        </w:trPr>
        <w:tc>
          <w:tcPr>
            <w:tcW w:w="1480" w:type="dxa"/>
            <w:vAlign w:val="bottom"/>
            <w:shd w:val="clear" w:color="auto" w:fill="CCEEFF"/>
          </w:tcPr>
          <w:p>
            <w:pPr>
              <w:spacing w:after="0"/>
              <w:rPr>
                <w:sz w:val="20"/>
                <w:szCs w:val="20"/>
                <w:color w:val="auto"/>
              </w:rPr>
            </w:pPr>
          </w:p>
        </w:tc>
        <w:tc>
          <w:tcPr>
            <w:tcW w:w="7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wells.</w:t>
            </w:r>
          </w:p>
        </w:tc>
      </w:tr>
      <w:tr>
        <w:trPr>
          <w:trHeight w:val="202"/>
        </w:trPr>
        <w:tc>
          <w:tcPr>
            <w:tcW w:w="1480" w:type="dxa"/>
            <w:vAlign w:val="bottom"/>
          </w:tcPr>
          <w:p>
            <w:pPr>
              <w:spacing w:after="0" w:line="201" w:lineRule="exact"/>
              <w:rPr>
                <w:sz w:val="20"/>
                <w:szCs w:val="20"/>
                <w:color w:val="auto"/>
              </w:rPr>
            </w:pPr>
            <w:r>
              <w:rPr>
                <w:rFonts w:ascii="Arial" w:cs="Arial" w:eastAsia="Arial" w:hAnsi="Arial"/>
                <w:sz w:val="18"/>
                <w:szCs w:val="18"/>
                <w:b w:val="1"/>
                <w:bCs w:val="1"/>
                <w:color w:val="auto"/>
              </w:rPr>
              <w:t>Shut-in Well</w:t>
            </w:r>
          </w:p>
        </w:tc>
        <w:tc>
          <w:tcPr>
            <w:tcW w:w="7420" w:type="dxa"/>
            <w:vAlign w:val="bottom"/>
          </w:tcPr>
          <w:p>
            <w:pPr>
              <w:ind w:left="60"/>
              <w:spacing w:after="0" w:line="201" w:lineRule="exact"/>
              <w:rPr>
                <w:sz w:val="20"/>
                <w:szCs w:val="20"/>
                <w:color w:val="auto"/>
              </w:rPr>
            </w:pPr>
            <w:r>
              <w:rPr>
                <w:rFonts w:ascii="Arial" w:cs="Arial" w:eastAsia="Arial" w:hAnsi="Arial"/>
                <w:sz w:val="18"/>
                <w:szCs w:val="18"/>
                <w:color w:val="auto"/>
                <w:w w:val="93"/>
              </w:rPr>
              <w:t>A well that is not on production, but has not been plugged and abandoned. Wells may be shut-in in</w:t>
            </w:r>
          </w:p>
        </w:tc>
      </w:tr>
      <w:tr>
        <w:trPr>
          <w:trHeight w:val="230"/>
        </w:trPr>
        <w:tc>
          <w:tcPr>
            <w:tcW w:w="1480" w:type="dxa"/>
            <w:vAlign w:val="bottom"/>
          </w:tcPr>
          <w:p>
            <w:pPr>
              <w:spacing w:after="0"/>
              <w:rPr>
                <w:sz w:val="20"/>
                <w:szCs w:val="20"/>
                <w:color w:val="auto"/>
              </w:rPr>
            </w:pPr>
          </w:p>
        </w:tc>
        <w:tc>
          <w:tcPr>
            <w:tcW w:w="7420" w:type="dxa"/>
            <w:vAlign w:val="bottom"/>
          </w:tcPr>
          <w:p>
            <w:pPr>
              <w:ind w:left="60"/>
              <w:spacing w:after="0"/>
              <w:rPr>
                <w:sz w:val="20"/>
                <w:szCs w:val="20"/>
                <w:color w:val="auto"/>
              </w:rPr>
            </w:pPr>
            <w:r>
              <w:rPr>
                <w:rFonts w:ascii="Arial" w:cs="Arial" w:eastAsia="Arial" w:hAnsi="Arial"/>
                <w:sz w:val="18"/>
                <w:szCs w:val="18"/>
                <w:color w:val="auto"/>
              </w:rPr>
              <w:t>anticipation of future utility as a producing well, plugging and abandonment or other use.</w:t>
            </w:r>
          </w:p>
        </w:tc>
      </w:tr>
      <w:tr>
        <w:trPr>
          <w:trHeight w:val="198"/>
        </w:trPr>
        <w:tc>
          <w:tcPr>
            <w:tcW w:w="14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Standardized</w:t>
            </w:r>
          </w:p>
        </w:tc>
        <w:tc>
          <w:tcPr>
            <w:tcW w:w="7420" w:type="dxa"/>
            <w:vAlign w:val="bottom"/>
            <w:shd w:val="clear" w:color="auto" w:fill="CCEEFF"/>
          </w:tcPr>
          <w:p>
            <w:pPr>
              <w:ind w:left="60"/>
              <w:spacing w:after="0" w:line="198" w:lineRule="exact"/>
              <w:rPr>
                <w:sz w:val="20"/>
                <w:szCs w:val="20"/>
                <w:color w:val="auto"/>
              </w:rPr>
            </w:pPr>
            <w:r>
              <w:rPr>
                <w:rFonts w:ascii="Arial" w:cs="Arial" w:eastAsia="Arial" w:hAnsi="Arial"/>
                <w:sz w:val="18"/>
                <w:szCs w:val="18"/>
                <w:color w:val="auto"/>
                <w:w w:val="95"/>
              </w:rPr>
              <w:t>The standardized measure of discounted future net cash flows. The Standardized Measure is an</w:t>
            </w:r>
          </w:p>
        </w:tc>
      </w:tr>
      <w:tr>
        <w:trPr>
          <w:trHeight w:val="220"/>
        </w:trPr>
        <w:tc>
          <w:tcPr>
            <w:tcW w:w="1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Measure</w:t>
            </w:r>
          </w:p>
        </w:tc>
        <w:tc>
          <w:tcPr>
            <w:tcW w:w="7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4"/>
              </w:rPr>
              <w:t>estimate of future net cash flows associated with proved reserves, discounted at 10% per annum.</w:t>
            </w:r>
          </w:p>
        </w:tc>
      </w:tr>
      <w:tr>
        <w:trPr>
          <w:trHeight w:val="216"/>
        </w:trPr>
        <w:tc>
          <w:tcPr>
            <w:tcW w:w="1480" w:type="dxa"/>
            <w:vAlign w:val="bottom"/>
            <w:shd w:val="clear" w:color="auto" w:fill="CCEEFF"/>
          </w:tcPr>
          <w:p>
            <w:pPr>
              <w:spacing w:after="0"/>
              <w:rPr>
                <w:sz w:val="18"/>
                <w:szCs w:val="18"/>
                <w:color w:val="auto"/>
              </w:rPr>
            </w:pPr>
          </w:p>
        </w:tc>
        <w:tc>
          <w:tcPr>
            <w:tcW w:w="7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Future net cash flows are calculated by reducing future net revenues by estimated future income tax</w:t>
            </w:r>
          </w:p>
        </w:tc>
      </w:tr>
      <w:tr>
        <w:trPr>
          <w:trHeight w:val="216"/>
        </w:trPr>
        <w:tc>
          <w:tcPr>
            <w:tcW w:w="1480" w:type="dxa"/>
            <w:vAlign w:val="bottom"/>
            <w:shd w:val="clear" w:color="auto" w:fill="CCEEFF"/>
          </w:tcPr>
          <w:p>
            <w:pPr>
              <w:spacing w:after="0"/>
              <w:rPr>
                <w:sz w:val="18"/>
                <w:szCs w:val="18"/>
                <w:color w:val="auto"/>
              </w:rPr>
            </w:pPr>
          </w:p>
        </w:tc>
        <w:tc>
          <w:tcPr>
            <w:tcW w:w="7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expenses and discounting at 10% per annum. The Standardized Measure and the PV-10 of proved</w:t>
            </w:r>
          </w:p>
        </w:tc>
      </w:tr>
      <w:tr>
        <w:trPr>
          <w:trHeight w:val="216"/>
        </w:trPr>
        <w:tc>
          <w:tcPr>
            <w:tcW w:w="1480" w:type="dxa"/>
            <w:vAlign w:val="bottom"/>
            <w:shd w:val="clear" w:color="auto" w:fill="CCEEFF"/>
          </w:tcPr>
          <w:p>
            <w:pPr>
              <w:spacing w:after="0"/>
              <w:rPr>
                <w:sz w:val="18"/>
                <w:szCs w:val="18"/>
                <w:color w:val="auto"/>
              </w:rPr>
            </w:pPr>
          </w:p>
        </w:tc>
        <w:tc>
          <w:tcPr>
            <w:tcW w:w="7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4"/>
              </w:rPr>
              <w:t>reserves are calculated in the same exact fashion, except that the Standardized Measure includes</w:t>
            </w:r>
          </w:p>
        </w:tc>
      </w:tr>
      <w:tr>
        <w:trPr>
          <w:trHeight w:val="216"/>
        </w:trPr>
        <w:tc>
          <w:tcPr>
            <w:tcW w:w="1480" w:type="dxa"/>
            <w:vAlign w:val="bottom"/>
            <w:shd w:val="clear" w:color="auto" w:fill="CCEEFF"/>
          </w:tcPr>
          <w:p>
            <w:pPr>
              <w:spacing w:after="0"/>
              <w:rPr>
                <w:sz w:val="18"/>
                <w:szCs w:val="18"/>
                <w:color w:val="auto"/>
              </w:rPr>
            </w:pPr>
          </w:p>
        </w:tc>
        <w:tc>
          <w:tcPr>
            <w:tcW w:w="7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8"/>
              </w:rPr>
              <w:t>future estimated income taxes discounted at 10% per annum. The Standardized Measure is in</w:t>
            </w:r>
          </w:p>
        </w:tc>
      </w:tr>
      <w:tr>
        <w:trPr>
          <w:trHeight w:val="216"/>
        </w:trPr>
        <w:tc>
          <w:tcPr>
            <w:tcW w:w="1480" w:type="dxa"/>
            <w:vAlign w:val="bottom"/>
            <w:shd w:val="clear" w:color="auto" w:fill="CCEEFF"/>
          </w:tcPr>
          <w:p>
            <w:pPr>
              <w:spacing w:after="0"/>
              <w:rPr>
                <w:sz w:val="18"/>
                <w:szCs w:val="18"/>
                <w:color w:val="auto"/>
              </w:rPr>
            </w:pPr>
          </w:p>
        </w:tc>
        <w:tc>
          <w:tcPr>
            <w:tcW w:w="7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accordance with accounting standards generally accepted in the United States of America</w:t>
            </w:r>
          </w:p>
        </w:tc>
      </w:tr>
      <w:tr>
        <w:trPr>
          <w:trHeight w:val="230"/>
        </w:trPr>
        <w:tc>
          <w:tcPr>
            <w:tcW w:w="1480" w:type="dxa"/>
            <w:vAlign w:val="bottom"/>
            <w:shd w:val="clear" w:color="auto" w:fill="CCEEFF"/>
          </w:tcPr>
          <w:p>
            <w:pPr>
              <w:spacing w:after="0"/>
              <w:rPr>
                <w:sz w:val="20"/>
                <w:szCs w:val="20"/>
                <w:color w:val="auto"/>
              </w:rPr>
            </w:pPr>
          </w:p>
        </w:tc>
        <w:tc>
          <w:tcPr>
            <w:tcW w:w="7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(“GAAP”).</w:t>
            </w:r>
          </w:p>
        </w:tc>
      </w:tr>
      <w:tr>
        <w:trPr>
          <w:trHeight w:val="198"/>
        </w:trPr>
        <w:tc>
          <w:tcPr>
            <w:tcW w:w="1480" w:type="dxa"/>
            <w:vAlign w:val="bottom"/>
          </w:tcPr>
          <w:p>
            <w:pPr>
              <w:spacing w:after="0" w:line="198" w:lineRule="exact"/>
              <w:rPr>
                <w:sz w:val="20"/>
                <w:szCs w:val="20"/>
                <w:color w:val="auto"/>
              </w:rPr>
            </w:pPr>
            <w:r>
              <w:rPr>
                <w:rFonts w:ascii="Arial" w:cs="Arial" w:eastAsia="Arial" w:hAnsi="Arial"/>
                <w:sz w:val="18"/>
                <w:szCs w:val="18"/>
                <w:b w:val="1"/>
                <w:bCs w:val="1"/>
                <w:color w:val="auto"/>
                <w:w w:val="95"/>
              </w:rPr>
              <w:t>Tertiary Recovery</w:t>
            </w:r>
          </w:p>
        </w:tc>
        <w:tc>
          <w:tcPr>
            <w:tcW w:w="7420" w:type="dxa"/>
            <w:vAlign w:val="bottom"/>
          </w:tcPr>
          <w:p>
            <w:pPr>
              <w:ind w:left="60"/>
              <w:spacing w:after="0" w:line="198" w:lineRule="exact"/>
              <w:rPr>
                <w:sz w:val="20"/>
                <w:szCs w:val="20"/>
                <w:color w:val="auto"/>
              </w:rPr>
            </w:pPr>
            <w:r>
              <w:rPr>
                <w:rFonts w:ascii="Arial" w:cs="Arial" w:eastAsia="Arial" w:hAnsi="Arial"/>
                <w:sz w:val="18"/>
                <w:szCs w:val="18"/>
                <w:color w:val="auto"/>
              </w:rPr>
              <w:t>The extraction of oil and natural gas from reservoirs which employs injection of gas, heat, or</w:t>
            </w:r>
          </w:p>
        </w:tc>
      </w:tr>
      <w:tr>
        <w:trPr>
          <w:trHeight w:val="220"/>
        </w:trPr>
        <w:tc>
          <w:tcPr>
            <w:tcW w:w="1480" w:type="dxa"/>
            <w:vAlign w:val="bottom"/>
          </w:tcPr>
          <w:p>
            <w:pPr>
              <w:spacing w:after="0"/>
              <w:rPr>
                <w:sz w:val="20"/>
                <w:szCs w:val="20"/>
                <w:color w:val="auto"/>
              </w:rPr>
            </w:pPr>
            <w:r>
              <w:rPr>
                <w:rFonts w:ascii="Arial" w:cs="Arial" w:eastAsia="Arial" w:hAnsi="Arial"/>
                <w:sz w:val="18"/>
                <w:szCs w:val="18"/>
                <w:b w:val="1"/>
                <w:bCs w:val="1"/>
                <w:color w:val="auto"/>
              </w:rPr>
              <w:t>Method</w:t>
            </w:r>
          </w:p>
        </w:tc>
        <w:tc>
          <w:tcPr>
            <w:tcW w:w="7420" w:type="dxa"/>
            <w:vAlign w:val="bottom"/>
          </w:tcPr>
          <w:p>
            <w:pPr>
              <w:ind w:left="60"/>
              <w:spacing w:after="0"/>
              <w:rPr>
                <w:sz w:val="20"/>
                <w:szCs w:val="20"/>
                <w:color w:val="auto"/>
              </w:rPr>
            </w:pPr>
            <w:r>
              <w:rPr>
                <w:rFonts w:ascii="Arial" w:cs="Arial" w:eastAsia="Arial" w:hAnsi="Arial"/>
                <w:sz w:val="18"/>
                <w:szCs w:val="18"/>
                <w:color w:val="auto"/>
              </w:rPr>
              <w:t>chemicals into the reservoir in order to change the physical properties of the oil and aid in its</w:t>
            </w:r>
          </w:p>
        </w:tc>
      </w:tr>
      <w:tr>
        <w:trPr>
          <w:trHeight w:val="230"/>
        </w:trPr>
        <w:tc>
          <w:tcPr>
            <w:tcW w:w="1480" w:type="dxa"/>
            <w:vAlign w:val="bottom"/>
          </w:tcPr>
          <w:p>
            <w:pPr>
              <w:spacing w:after="0"/>
              <w:rPr>
                <w:sz w:val="20"/>
                <w:szCs w:val="20"/>
                <w:color w:val="auto"/>
              </w:rPr>
            </w:pPr>
          </w:p>
        </w:tc>
        <w:tc>
          <w:tcPr>
            <w:tcW w:w="7420" w:type="dxa"/>
            <w:vAlign w:val="bottom"/>
          </w:tcPr>
          <w:p>
            <w:pPr>
              <w:ind w:left="60"/>
              <w:spacing w:after="0"/>
              <w:rPr>
                <w:sz w:val="20"/>
                <w:szCs w:val="20"/>
                <w:color w:val="auto"/>
              </w:rPr>
            </w:pPr>
            <w:r>
              <w:rPr>
                <w:rFonts w:ascii="Arial" w:cs="Arial" w:eastAsia="Arial" w:hAnsi="Arial"/>
                <w:sz w:val="18"/>
                <w:szCs w:val="18"/>
                <w:color w:val="auto"/>
              </w:rPr>
              <w:t>extraction, also known as Enhanced Oil Recovery (EOR).</w:t>
            </w:r>
          </w:p>
        </w:tc>
      </w:tr>
      <w:tr>
        <w:trPr>
          <w:trHeight w:val="198"/>
        </w:trPr>
        <w:tc>
          <w:tcPr>
            <w:tcW w:w="14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Undeveloped</w:t>
            </w:r>
          </w:p>
        </w:tc>
        <w:tc>
          <w:tcPr>
            <w:tcW w:w="7420" w:type="dxa"/>
            <w:vAlign w:val="bottom"/>
            <w:shd w:val="clear" w:color="auto" w:fill="CCEEFF"/>
          </w:tcPr>
          <w:p>
            <w:pPr>
              <w:ind w:left="60"/>
              <w:spacing w:after="0" w:line="198" w:lineRule="exact"/>
              <w:rPr>
                <w:sz w:val="20"/>
                <w:szCs w:val="20"/>
                <w:color w:val="auto"/>
              </w:rPr>
            </w:pPr>
            <w:r>
              <w:rPr>
                <w:rFonts w:ascii="Arial" w:cs="Arial" w:eastAsia="Arial" w:hAnsi="Arial"/>
                <w:sz w:val="18"/>
                <w:szCs w:val="18"/>
                <w:color w:val="auto"/>
                <w:w w:val="92"/>
              </w:rPr>
              <w:t>Reserves of any category that are expected to be recovered from new wells on undrilled acreage, or</w:t>
            </w:r>
          </w:p>
        </w:tc>
      </w:tr>
      <w:tr>
        <w:trPr>
          <w:trHeight w:val="234"/>
        </w:trPr>
        <w:tc>
          <w:tcPr>
            <w:tcW w:w="1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Reserves</w:t>
            </w:r>
          </w:p>
        </w:tc>
        <w:tc>
          <w:tcPr>
            <w:tcW w:w="7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from existing wells where a relatively major expenditure is required for recompletion.*</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440" w:type="dxa"/>
            <w:vAlign w:val="bottom"/>
          </w:tcPr>
          <w:p>
            <w:pPr>
              <w:spacing w:after="0"/>
              <w:rPr>
                <w:sz w:val="20"/>
                <w:szCs w:val="20"/>
                <w:color w:val="auto"/>
              </w:rPr>
            </w:pPr>
            <w:r>
              <w:rPr>
                <w:rFonts w:ascii="Arial" w:cs="Arial" w:eastAsia="Arial" w:hAnsi="Arial"/>
                <w:sz w:val="18"/>
                <w:szCs w:val="18"/>
                <w:b w:val="1"/>
                <w:bCs w:val="1"/>
                <w:color w:val="auto"/>
              </w:rPr>
              <w:t>Water Injection</w:t>
            </w:r>
          </w:p>
        </w:tc>
        <w:tc>
          <w:tcPr>
            <w:tcW w:w="7460" w:type="dxa"/>
            <w:vAlign w:val="bottom"/>
          </w:tcPr>
          <w:p>
            <w:pPr>
              <w:ind w:left="100"/>
              <w:spacing w:after="0"/>
              <w:rPr>
                <w:sz w:val="20"/>
                <w:szCs w:val="20"/>
                <w:color w:val="auto"/>
              </w:rPr>
            </w:pPr>
            <w:r>
              <w:rPr>
                <w:rFonts w:ascii="Arial" w:cs="Arial" w:eastAsia="Arial" w:hAnsi="Arial"/>
                <w:sz w:val="18"/>
                <w:szCs w:val="18"/>
                <w:color w:val="auto"/>
                <w:w w:val="98"/>
              </w:rPr>
              <w:t>A well which is used to inject water under high pressure into a producing formation to maintain</w:t>
            </w:r>
          </w:p>
        </w:tc>
      </w:tr>
      <w:tr>
        <w:trPr>
          <w:trHeight w:val="234"/>
        </w:trPr>
        <w:tc>
          <w:tcPr>
            <w:tcW w:w="1440" w:type="dxa"/>
            <w:vAlign w:val="bottom"/>
          </w:tcPr>
          <w:p>
            <w:pPr>
              <w:spacing w:after="0"/>
              <w:rPr>
                <w:sz w:val="20"/>
                <w:szCs w:val="20"/>
                <w:color w:val="auto"/>
              </w:rPr>
            </w:pPr>
            <w:r>
              <w:rPr>
                <w:rFonts w:ascii="Arial" w:cs="Arial" w:eastAsia="Arial" w:hAnsi="Arial"/>
                <w:sz w:val="18"/>
                <w:szCs w:val="18"/>
                <w:b w:val="1"/>
                <w:bCs w:val="1"/>
                <w:color w:val="auto"/>
              </w:rPr>
              <w:t>Well</w:t>
            </w:r>
          </w:p>
        </w:tc>
        <w:tc>
          <w:tcPr>
            <w:tcW w:w="7460" w:type="dxa"/>
            <w:vAlign w:val="bottom"/>
          </w:tcPr>
          <w:p>
            <w:pPr>
              <w:ind w:left="100"/>
              <w:spacing w:after="0"/>
              <w:rPr>
                <w:sz w:val="20"/>
                <w:szCs w:val="20"/>
                <w:color w:val="auto"/>
              </w:rPr>
            </w:pPr>
            <w:r>
              <w:rPr>
                <w:rFonts w:ascii="Arial" w:cs="Arial" w:eastAsia="Arial" w:hAnsi="Arial"/>
                <w:sz w:val="18"/>
                <w:szCs w:val="18"/>
                <w:color w:val="auto"/>
              </w:rPr>
              <w:t>sufficient pressure to produce the recoverable reserves.</w:t>
            </w:r>
          </w:p>
        </w:tc>
      </w:tr>
      <w:tr>
        <w:trPr>
          <w:trHeight w:val="202"/>
        </w:trPr>
        <w:tc>
          <w:tcPr>
            <w:tcW w:w="14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9"/>
              </w:rPr>
              <w:t>Working Interest</w:t>
            </w:r>
          </w:p>
        </w:tc>
        <w:tc>
          <w:tcPr>
            <w:tcW w:w="74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3"/>
              </w:rPr>
              <w:t>The interest in the oil and natural gas in place which is burdened with the cost of development and</w:t>
            </w:r>
          </w:p>
        </w:tc>
      </w:tr>
      <w:tr>
        <w:trPr>
          <w:trHeight w:val="230"/>
        </w:trPr>
        <w:tc>
          <w:tcPr>
            <w:tcW w:w="1440" w:type="dxa"/>
            <w:vAlign w:val="bottom"/>
            <w:shd w:val="clear" w:color="auto" w:fill="CCEEFF"/>
          </w:tcPr>
          <w:p>
            <w:pPr>
              <w:spacing w:after="0"/>
              <w:rPr>
                <w:sz w:val="20"/>
                <w:szCs w:val="20"/>
                <w:color w:val="auto"/>
              </w:rPr>
            </w:pPr>
          </w:p>
        </w:tc>
        <w:tc>
          <w:tcPr>
            <w:tcW w:w="7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operation of the property. Also called the operating interest.</w:t>
            </w:r>
          </w:p>
        </w:tc>
      </w:tr>
      <w:tr>
        <w:trPr>
          <w:trHeight w:val="234"/>
        </w:trPr>
        <w:tc>
          <w:tcPr>
            <w:tcW w:w="1440" w:type="dxa"/>
            <w:vAlign w:val="bottom"/>
          </w:tcPr>
          <w:p>
            <w:pPr>
              <w:spacing w:after="0"/>
              <w:rPr>
                <w:sz w:val="20"/>
                <w:szCs w:val="20"/>
                <w:color w:val="auto"/>
              </w:rPr>
            </w:pPr>
            <w:r>
              <w:rPr>
                <w:rFonts w:ascii="Arial" w:cs="Arial" w:eastAsia="Arial" w:hAnsi="Arial"/>
                <w:sz w:val="18"/>
                <w:szCs w:val="18"/>
                <w:b w:val="1"/>
                <w:bCs w:val="1"/>
                <w:color w:val="auto"/>
              </w:rPr>
              <w:t>Workover</w:t>
            </w:r>
          </w:p>
        </w:tc>
        <w:tc>
          <w:tcPr>
            <w:tcW w:w="7460" w:type="dxa"/>
            <w:vAlign w:val="bottom"/>
          </w:tcPr>
          <w:p>
            <w:pPr>
              <w:ind w:left="100"/>
              <w:spacing w:after="0"/>
              <w:rPr>
                <w:sz w:val="20"/>
                <w:szCs w:val="20"/>
                <w:color w:val="auto"/>
              </w:rPr>
            </w:pPr>
            <w:r>
              <w:rPr>
                <w:rFonts w:ascii="Arial" w:cs="Arial" w:eastAsia="Arial" w:hAnsi="Arial"/>
                <w:sz w:val="18"/>
                <w:szCs w:val="18"/>
                <w:color w:val="auto"/>
                <w:w w:val="96"/>
              </w:rPr>
              <w:t>A remedial operation on a completed well to restore, maintain, or improve the well’s production.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74295</wp:posOffset>
            </wp:positionV>
            <wp:extent cx="14141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4" w:lineRule="exact"/>
        <w:rPr>
          <w:sz w:val="20"/>
          <w:szCs w:val="20"/>
          <w:color w:val="auto"/>
        </w:rPr>
      </w:pPr>
    </w:p>
    <w:p>
      <w:pPr>
        <w:ind w:left="380" w:right="439" w:hanging="330"/>
        <w:spacing w:after="0" w:line="277"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definition may be an abbreviated version of the complete definition as defined by the SEC in Rule 4-10(a) of Regulation S-X.</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See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u w:val="single" w:color="auto"/>
          <w:color w:val="0000EE"/>
        </w:rPr>
        <w:t>Glossary of Selected Petroleum Industry Terms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starting on page iv.</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Evolution Petroleum Corporation (“Evolution,” and together with its consolidated subsidiaries, the “Company”, “our”, “we, “us” or similar terms) is an independent energy company focused on maximizing total returns to its shareholders through the ownership of and investment in onshore oil and natural gas properties in the United States. Our long-term goal is to maximize total shareholder return from a diversified portfolio of long-life oil and natural gas properties built through acquisition and through selective development opportunities, production enhancement, and other exploitation efforts on our oil and natural gas properties.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Dividend Declaration</w:t>
      </w:r>
    </w:p>
    <w:p>
      <w:pPr>
        <w:spacing w:after="0" w:line="171" w:lineRule="exact"/>
        <w:rPr>
          <w:sz w:val="20"/>
          <w:szCs w:val="20"/>
          <w:color w:val="auto"/>
        </w:rPr>
      </w:pPr>
    </w:p>
    <w:p>
      <w:pPr>
        <w:ind w:left="60" w:right="199"/>
        <w:spacing w:after="0" w:line="324" w:lineRule="auto"/>
        <w:rPr>
          <w:sz w:val="20"/>
          <w:szCs w:val="20"/>
          <w:color w:val="auto"/>
        </w:rPr>
      </w:pPr>
      <w:r>
        <w:rPr>
          <w:rFonts w:ascii="Arial" w:cs="Arial" w:eastAsia="Arial" w:hAnsi="Arial"/>
          <w:sz w:val="18"/>
          <w:szCs w:val="18"/>
          <w:color w:val="auto"/>
        </w:rPr>
        <w:t>On September 11, 2023, Evolution’s Board of Directors approved and declared a quarterly dividend of $0.12 per common share payable September 29, 2023.</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31" w:lineRule="exact"/>
        <w:rPr>
          <w:sz w:val="20"/>
          <w:szCs w:val="20"/>
          <w:color w:val="auto"/>
        </w:rPr>
      </w:pPr>
    </w:p>
    <w:p>
      <w:pPr>
        <w:ind w:left="60" w:right="199"/>
        <w:spacing w:after="0" w:line="273" w:lineRule="auto"/>
        <w:rPr>
          <w:sz w:val="20"/>
          <w:szCs w:val="20"/>
          <w:color w:val="auto"/>
        </w:rPr>
      </w:pPr>
      <w:r>
        <w:rPr>
          <w:rFonts w:ascii="Arial" w:cs="Arial" w:eastAsia="Arial" w:hAnsi="Arial"/>
          <w:sz w:val="17"/>
          <w:szCs w:val="17"/>
          <w:color w:val="auto"/>
        </w:rPr>
        <w:t xml:space="preserve">On May 5, 2023, we entered into the Tenth Amendment to our Senior Secured Credit Facility which has a current borrowing base of $50.0 million. This amendment, among other things, extends the maturity of our Senior Secured Credit Facility to April 9, 2026 and converts our benchmark interest rate from London Interbank Offered Rate (“LIBOR”) to a Secured Overnight Financing Rate (“SOFR”) plus a credit spread adjustment of 0.05%. For further discussion of this amendment and our Senior Secured Credit Facility, see “Liquidity and Capital Resources” within Item 7. </w:t>
      </w:r>
      <w:r>
        <w:rPr>
          <w:rFonts w:ascii="Arial" w:cs="Arial" w:eastAsia="Arial" w:hAnsi="Arial"/>
          <w:sz w:val="17"/>
          <w:szCs w:val="17"/>
          <w:i w:val="1"/>
          <w:iCs w:val="1"/>
          <w:color w:val="auto"/>
        </w:rPr>
        <w:t>Management’s</w:t>
      </w:r>
      <w:r>
        <w:rPr>
          <w:rFonts w:ascii="Arial" w:cs="Arial" w:eastAsia="Arial" w:hAnsi="Arial"/>
          <w:sz w:val="17"/>
          <w:szCs w:val="17"/>
          <w:color w:val="auto"/>
        </w:rPr>
        <w:t xml:space="preserve"> </w:t>
      </w:r>
      <w:r>
        <w:rPr>
          <w:rFonts w:ascii="Arial" w:cs="Arial" w:eastAsia="Arial" w:hAnsi="Arial"/>
          <w:sz w:val="17"/>
          <w:szCs w:val="17"/>
          <w:i w:val="1"/>
          <w:iCs w:val="1"/>
          <w:color w:val="auto"/>
        </w:rPr>
        <w:t>Discussion and Analysis of Financial Conditions and Results of Operations</w:t>
      </w:r>
      <w:r>
        <w:rPr>
          <w:rFonts w:ascii="Arial" w:cs="Arial" w:eastAsia="Arial" w:hAnsi="Arial"/>
          <w:sz w:val="17"/>
          <w:szCs w:val="17"/>
          <w:color w:val="auto"/>
        </w:rPr>
        <w:t>.</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Appointment of Chief Operating Officer</w:t>
      </w:r>
    </w:p>
    <w:p>
      <w:pPr>
        <w:spacing w:after="0" w:line="131" w:lineRule="exact"/>
        <w:rPr>
          <w:sz w:val="20"/>
          <w:szCs w:val="20"/>
          <w:color w:val="auto"/>
        </w:rPr>
      </w:pPr>
    </w:p>
    <w:p>
      <w:pPr>
        <w:ind w:left="60" w:right="339"/>
        <w:spacing w:after="0" w:line="263" w:lineRule="auto"/>
        <w:rPr>
          <w:sz w:val="20"/>
          <w:szCs w:val="20"/>
          <w:color w:val="auto"/>
        </w:rPr>
      </w:pPr>
      <w:r>
        <w:rPr>
          <w:rFonts w:ascii="Arial" w:cs="Arial" w:eastAsia="Arial" w:hAnsi="Arial"/>
          <w:sz w:val="18"/>
          <w:szCs w:val="18"/>
          <w:color w:val="auto"/>
        </w:rPr>
        <w:t>On February 23, 2023, we announced that the Board of Directors appointed J. Mark Bunch as Chief Operating Officer (“COO”). Mr. Bunch had been providing consulting services to the Company since 2016. We entered into an offer letter with Mr. Bunch setting forth his compensation as COO on February 21, 2023.</w:t>
      </w:r>
    </w:p>
    <w:p>
      <w:pPr>
        <w:spacing w:after="0" w:line="25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Appointment of Chief Executive Officer</w:t>
      </w:r>
    </w:p>
    <w:p>
      <w:pPr>
        <w:spacing w:after="0" w:line="131" w:lineRule="exact"/>
        <w:rPr>
          <w:sz w:val="20"/>
          <w:szCs w:val="20"/>
          <w:color w:val="auto"/>
        </w:rPr>
      </w:pPr>
    </w:p>
    <w:p>
      <w:pPr>
        <w:ind w:left="60" w:right="159"/>
        <w:spacing w:after="0" w:line="257" w:lineRule="auto"/>
        <w:rPr>
          <w:sz w:val="20"/>
          <w:szCs w:val="20"/>
          <w:color w:val="auto"/>
        </w:rPr>
      </w:pPr>
      <w:r>
        <w:rPr>
          <w:rFonts w:ascii="Arial" w:cs="Arial" w:eastAsia="Arial" w:hAnsi="Arial"/>
          <w:sz w:val="18"/>
          <w:szCs w:val="18"/>
          <w:color w:val="auto"/>
        </w:rPr>
        <w:t>On October 27, 2022, we announced that the Board of Directors selected Kelly W. Loyd as President and Chief Executive Officer (“CEO”). Mr. Loyd had been serving as Interim CEO since June 2022 and has served as a member of the Board of Directors since 2008. We entered into an offer letter with Mr. Loyd setting forth his compensation as CEO on October 25, 2022. Upon commencing employment, Mr. Loyd no longer receives compensation for his services as a member of the Board of Directors.</w:t>
      </w:r>
    </w:p>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31" w:lineRule="exact"/>
        <w:rPr>
          <w:sz w:val="20"/>
          <w:szCs w:val="20"/>
          <w:color w:val="auto"/>
        </w:rPr>
      </w:pPr>
    </w:p>
    <w:p>
      <w:pPr>
        <w:ind w:left="60" w:right="179"/>
        <w:spacing w:after="0" w:line="290" w:lineRule="auto"/>
        <w:rPr>
          <w:sz w:val="20"/>
          <w:szCs w:val="20"/>
          <w:color w:val="auto"/>
        </w:rPr>
      </w:pPr>
      <w:r>
        <w:rPr>
          <w:rFonts w:ascii="Arial" w:cs="Arial" w:eastAsia="Arial" w:hAnsi="Arial"/>
          <w:sz w:val="16"/>
          <w:szCs w:val="16"/>
          <w:color w:val="auto"/>
        </w:rPr>
        <w:t>On September 8, 2022, the Board of Directors approved a share repurchase program under which we are authorized to repurchase up to $25.0 million of our common stock in the open market through December 31, 2024. We intend to fund repurchases from available working capital and cash provided by operating activities. As we continue to focus on our goal of maximizing total shareholder return, the Board of Directors and management team believe that a share repurchase program is complimentary to the existing dividend policy and is a tax efficient means to further improve shareholder return. The shares may be repurchased from time to time in open market transactions, through privately negotiated transactions or by other means in accordance with federal securities laws. The timing, as well as the number and value of shares repurchased under the program, will depend on a variety of factors, including management’s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301" w:lineRule="auto"/>
        <w:rPr>
          <w:sz w:val="20"/>
          <w:szCs w:val="20"/>
          <w:color w:val="auto"/>
        </w:rPr>
      </w:pPr>
      <w:r>
        <w:rPr>
          <w:rFonts w:ascii="Arial" w:cs="Arial" w:eastAsia="Arial" w:hAnsi="Arial"/>
          <w:sz w:val="16"/>
          <w:szCs w:val="16"/>
          <w:color w:val="auto"/>
        </w:rPr>
        <w:t>assessment of the intrinsic value of our shares, our capital needs and resources, the market price of our common stock, general market and economic conditions, and applicable legal requirements. The value of shares authorized for repurchase by our Board of Directors does not require us to repurchase such shares or guarantee that such shares will be repurchased, and the program may be suspended, modified, or discontinued at any time without prior notice.</w:t>
      </w:r>
    </w:p>
    <w:p>
      <w:pPr>
        <w:spacing w:after="0" w:line="157" w:lineRule="exact"/>
        <w:rPr>
          <w:sz w:val="20"/>
          <w:szCs w:val="20"/>
          <w:color w:val="auto"/>
        </w:rPr>
      </w:pPr>
    </w:p>
    <w:p>
      <w:pPr>
        <w:ind w:left="60" w:right="119"/>
        <w:spacing w:after="0" w:line="271" w:lineRule="auto"/>
        <w:rPr>
          <w:sz w:val="20"/>
          <w:szCs w:val="20"/>
          <w:color w:val="auto"/>
        </w:rPr>
      </w:pPr>
      <w:r>
        <w:rPr>
          <w:rFonts w:ascii="Arial" w:cs="Arial" w:eastAsia="Arial" w:hAnsi="Arial"/>
          <w:sz w:val="17"/>
          <w:szCs w:val="17"/>
          <w:color w:val="auto"/>
        </w:rPr>
        <w:t>Once we completed repayment of borrowings on our Senior Secured Credit Facility and emerged from our blackout period in December 2022, we entered into a Rule 10b5-1 plan that authorized a broker to repurchase shares in the open market subject to pre-defined limitations on trading volume and price. The plan included a 30-day cooling off period that did not allow repurchases to commence until January 2023. The plan was effective until June 30, 2023 and had a maximum authorized amount of $5.0 million over that period. During the year ended June 30, 2023, 0.6 million shares of our common stock were repurchased under the plan at a total cost of approximately $3.9 million, including incremental direct transaction costs. These treasury shares were subsequently cancelled. We may enter into additional Rule 10b5-1 plans in the future, the terms of which will be approved by the Board of Directors.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Business Strategy</w:t>
      </w:r>
    </w:p>
    <w:p>
      <w:pPr>
        <w:spacing w:after="0" w:line="121" w:lineRule="exact"/>
        <w:rPr>
          <w:sz w:val="20"/>
          <w:szCs w:val="20"/>
          <w:color w:val="auto"/>
        </w:rPr>
      </w:pPr>
    </w:p>
    <w:p>
      <w:pPr>
        <w:jc w:val="both"/>
        <w:ind w:left="60" w:right="299"/>
        <w:spacing w:after="0" w:line="263" w:lineRule="auto"/>
        <w:rPr>
          <w:sz w:val="20"/>
          <w:szCs w:val="20"/>
          <w:color w:val="auto"/>
        </w:rPr>
      </w:pPr>
      <w:r>
        <w:rPr>
          <w:rFonts w:ascii="Arial" w:cs="Arial" w:eastAsia="Arial" w:hAnsi="Arial"/>
          <w:sz w:val="18"/>
          <w:szCs w:val="18"/>
          <w:color w:val="auto"/>
        </w:rPr>
        <w:t>Our business strategy is to maximize total shareholder return based on our assessment of the operating environment and marketplace, subject to our obligations to other stakeholders. The key elements of our strategy to accomplish our goal of maximizing shareholder return are:</w:t>
      </w:r>
    </w:p>
    <w:p>
      <w:pPr>
        <w:spacing w:after="0" w:line="76" w:lineRule="exact"/>
        <w:rPr>
          <w:sz w:val="20"/>
          <w:szCs w:val="20"/>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Maintaining a strong balance sheet and conservative financial management;</w:t>
      </w:r>
    </w:p>
    <w:p>
      <w:pPr>
        <w:spacing w:after="0" w:line="23" w:lineRule="exact"/>
        <w:rPr>
          <w:rFonts w:ascii="Arial" w:cs="Arial" w:eastAsia="Arial" w:hAnsi="Arial"/>
          <w:sz w:val="18"/>
          <w:szCs w:val="18"/>
          <w:color w:val="auto"/>
        </w:rPr>
      </w:pPr>
    </w:p>
    <w:p>
      <w:pPr>
        <w:ind w:left="720" w:right="279" w:hanging="319"/>
        <w:spacing w:after="0" w:line="250"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Growing the asset base through investment in our existing properties, direct acquisitions of new low decline, long-life oil and natural gas properties, selective development opportunities, or accretive acquisitions of similar companies; and</w:t>
      </w:r>
    </w:p>
    <w:p>
      <w:pPr>
        <w:spacing w:after="0" w:line="1" w:lineRule="exact"/>
        <w:rPr>
          <w:rFonts w:ascii="Arial" w:cs="Arial" w:eastAsia="Arial" w:hAnsi="Arial"/>
          <w:sz w:val="18"/>
          <w:szCs w:val="18"/>
          <w:color w:val="auto"/>
        </w:rPr>
      </w:pPr>
    </w:p>
    <w:p>
      <w:pPr>
        <w:ind w:left="720" w:right="319" w:hanging="319"/>
        <w:spacing w:after="0" w:line="260"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Returning cash to shareholders by sustaining and growing our dividend payout over time or repurchases of our shares in the open market.</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Properties</w:t>
      </w:r>
    </w:p>
    <w:p>
      <w:pPr>
        <w:spacing w:after="0" w:line="121" w:lineRule="exact"/>
        <w:rPr>
          <w:sz w:val="20"/>
          <w:szCs w:val="20"/>
          <w:color w:val="auto"/>
        </w:rPr>
      </w:pPr>
    </w:p>
    <w:p>
      <w:pPr>
        <w:ind w:left="60" w:right="299"/>
        <w:spacing w:after="0" w:line="259" w:lineRule="auto"/>
        <w:rPr>
          <w:sz w:val="20"/>
          <w:szCs w:val="20"/>
          <w:color w:val="auto"/>
        </w:rPr>
      </w:pPr>
      <w:r>
        <w:rPr>
          <w:rFonts w:ascii="Arial" w:cs="Arial" w:eastAsia="Arial" w:hAnsi="Arial"/>
          <w:sz w:val="18"/>
          <w:szCs w:val="18"/>
          <w:color w:val="auto"/>
        </w:rPr>
        <w:t>Our oil and natural gas properties consist of non-operated interests in the following areas: the Jonah Field in Sublette County, Wyoming; the Williston Basin in North Dakota; the Barnett Shale located in North Texas; the Hamilton Dome Field located in Hot Springs County, Wyoming; the Delhi Holt-Bryant Unit in the Delhi Field in Northeast Louisiana; as well as small overriding royalty interests in four onshore central Texas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-8890</wp:posOffset>
            </wp:positionV>
            <wp:extent cx="5349240" cy="3008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Jonah Field – Sublette County, Wyoming</w:t>
      </w:r>
    </w:p>
    <w:p>
      <w:pPr>
        <w:spacing w:after="0" w:line="225"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Our non-operated interests in the Jonah Field, a natural gas and NGL property in Sublette County, Wyoming, consist of approximately 20% average net working interest and approximately 15% average net revenue interest located on approximately 950 net acres all held by production. The properties are operated by Jonah Energy (“Jonah”), an established operator in the geographic region.</w:t>
      </w:r>
    </w:p>
    <w:p>
      <w:pPr>
        <w:spacing w:after="0" w:line="187" w:lineRule="exact"/>
        <w:rPr>
          <w:sz w:val="20"/>
          <w:szCs w:val="20"/>
          <w:color w:val="auto"/>
        </w:rPr>
      </w:pPr>
    </w:p>
    <w:p>
      <w:pPr>
        <w:ind w:left="60" w:right="219"/>
        <w:spacing w:after="0" w:line="263" w:lineRule="auto"/>
        <w:rPr>
          <w:sz w:val="20"/>
          <w:szCs w:val="20"/>
          <w:color w:val="auto"/>
        </w:rPr>
      </w:pPr>
      <w:r>
        <w:rPr>
          <w:rFonts w:ascii="Arial" w:cs="Arial" w:eastAsia="Arial" w:hAnsi="Arial"/>
          <w:sz w:val="18"/>
          <w:szCs w:val="18"/>
          <w:color w:val="auto"/>
        </w:rPr>
        <w:t>For the year ended June 30, 2023, our average net daily production from the Jonah Field properties was 1.9 MBOEPD consisting of 90% natural gas, 5% NGLs, and 5% oil. Hydrocarbons produced from our Jonah Field properties are sold to West Coast markets.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Williston Basin – Williston, North Dakota</w:t>
      </w:r>
    </w:p>
    <w:p>
      <w:pPr>
        <w:spacing w:after="0" w:line="225" w:lineRule="exact"/>
        <w:rPr>
          <w:sz w:val="20"/>
          <w:szCs w:val="20"/>
          <w:color w:val="auto"/>
        </w:rPr>
      </w:pPr>
    </w:p>
    <w:p>
      <w:pPr>
        <w:ind w:left="60" w:right="179"/>
        <w:spacing w:after="0" w:line="257" w:lineRule="auto"/>
        <w:rPr>
          <w:sz w:val="20"/>
          <w:szCs w:val="20"/>
          <w:color w:val="auto"/>
        </w:rPr>
      </w:pPr>
      <w:r>
        <w:rPr>
          <w:rFonts w:ascii="Arial" w:cs="Arial" w:eastAsia="Arial" w:hAnsi="Arial"/>
          <w:sz w:val="18"/>
          <w:szCs w:val="18"/>
          <w:color w:val="auto"/>
        </w:rPr>
        <w:t>Our non-operated interests in the Williston Basin, oil and natural gas producing properties, consist of approximately 39% average net working interest and approximately 33% average net revenue interest located on approximately 43,300 net acres (approximately 92% held by production) across Billings, Golden Valley, and McKenzie Counties in North Dakota. The properties are operated by Foundation Energy Management (“Foundation”), an established operator in the geographic region.</w:t>
      </w:r>
    </w:p>
    <w:p>
      <w:pPr>
        <w:spacing w:after="0" w:line="188" w:lineRule="exact"/>
        <w:rPr>
          <w:sz w:val="20"/>
          <w:szCs w:val="20"/>
          <w:color w:val="auto"/>
        </w:rPr>
      </w:pPr>
    </w:p>
    <w:p>
      <w:pPr>
        <w:ind w:left="60" w:right="199"/>
        <w:spacing w:after="0" w:line="259" w:lineRule="auto"/>
        <w:rPr>
          <w:sz w:val="20"/>
          <w:szCs w:val="20"/>
          <w:color w:val="auto"/>
        </w:rPr>
      </w:pPr>
      <w:r>
        <w:rPr>
          <w:rFonts w:ascii="Arial" w:cs="Arial" w:eastAsia="Arial" w:hAnsi="Arial"/>
          <w:sz w:val="18"/>
          <w:szCs w:val="18"/>
          <w:color w:val="auto"/>
        </w:rPr>
        <w:t>For the year ended June 30, 2023, our average net daily production from the Willison Basin properties was 0.5 MBOEPD consisting of 78% oil, 13% NGLs, and 9% natural gas. The primary producing reservoirs are the Three Forks, Pronghorn, and Bakken formations. Hydrocarbons produced from the Williston Basin properties are sold to local refineries and purchasers.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Barnett Shale - North Texas</w:t>
      </w:r>
    </w:p>
    <w:p>
      <w:pPr>
        <w:spacing w:after="0" w:line="225"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color w:val="auto"/>
        </w:rPr>
        <w:t>Our non-operated interests in the Barnett Shale, a natural gas and NGL producing shale reservoir, consist of approximately 17% average net working interest and approximately 14% average net revenue interest (inclusive of small overriding royalty interests) located on approximately 21,000 net acres held by production across nine North Texas counties (Bosque, Denton, Erath, Hill, Hood, Johnson, Parker, Somervell, and Tarrant), in the Barnett Shale. The oil and natural gas properties are primarily operated by Diversified Energy Company with approximately 10% of wells operated by six other operators.</w:t>
      </w:r>
    </w:p>
    <w:p>
      <w:pPr>
        <w:spacing w:after="0" w:line="192" w:lineRule="exact"/>
        <w:rPr>
          <w:sz w:val="20"/>
          <w:szCs w:val="20"/>
          <w:color w:val="auto"/>
        </w:rPr>
      </w:pPr>
    </w:p>
    <w:p>
      <w:pPr>
        <w:ind w:left="60" w:right="319"/>
        <w:spacing w:after="0" w:line="311" w:lineRule="auto"/>
        <w:rPr>
          <w:sz w:val="20"/>
          <w:szCs w:val="20"/>
          <w:color w:val="auto"/>
        </w:rPr>
      </w:pPr>
      <w:r>
        <w:rPr>
          <w:rFonts w:ascii="Arial" w:cs="Arial" w:eastAsia="Arial" w:hAnsi="Arial"/>
          <w:sz w:val="16"/>
          <w:szCs w:val="16"/>
          <w:color w:val="auto"/>
        </w:rPr>
        <w:t>For the year ended June 30, 2023, our average net daily production from the Barnett Shale properties was 3.2 MBOEPD consisting of 76% natural gas, 23% NGLs, and 1% oil. The producing reservoir is the Barnett Shale, which is also the source rock. Hydrocarbons produced from our Barnett Shale properties are sold to Gulf Coast markets.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Hamilton Dome – Hot Springs County, Wyoming</w:t>
      </w:r>
    </w:p>
    <w:p>
      <w:pPr>
        <w:spacing w:after="0" w:line="225" w:lineRule="exact"/>
        <w:rPr>
          <w:sz w:val="20"/>
          <w:szCs w:val="20"/>
          <w:color w:val="auto"/>
        </w:rPr>
      </w:pPr>
    </w:p>
    <w:p>
      <w:pPr>
        <w:ind w:left="60" w:right="319"/>
        <w:spacing w:after="0" w:line="293" w:lineRule="auto"/>
        <w:rPr>
          <w:sz w:val="20"/>
          <w:szCs w:val="20"/>
          <w:color w:val="auto"/>
        </w:rPr>
      </w:pPr>
      <w:r>
        <w:rPr>
          <w:rFonts w:ascii="Arial" w:cs="Arial" w:eastAsia="Arial" w:hAnsi="Arial"/>
          <w:sz w:val="16"/>
          <w:szCs w:val="16"/>
          <w:color w:val="auto"/>
        </w:rPr>
        <w:t>Our non-operated interests in the Hamilton Dome Field, a secondary recovery field utilizing water injection wells to pressurize the reservoir, consist of approximately 24% average net working interest, with an associated 20% average net revenue interest (inclusive of a small overriding royalty interest). The approximately 5,900 gross acre unitized field, of which we hold approximately 1,400 net acres, is operated by Merit Energy Company (“Merit”), a private oil and natural gas company, who owns the vast majority of the remaining working interest in the Hamilton Dome Field. The Hamilton Dome Field is located in the southwest region of the Big Horn Basin in northwest Wyoming.</w:t>
      </w:r>
    </w:p>
    <w:p>
      <w:pPr>
        <w:spacing w:after="0" w:line="164"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color w:val="auto"/>
        </w:rPr>
        <w:t>For the year ended June 30, 2023, our average net daily production from the Hamilton Dome Field properties was 0.4 MBOEPD consisting of 100% oil. The primary producing reservoirs in the field are the Tensleep and Phosphoria. Produced oil from the field is subject to Western Canadian Select pricing.</w:t>
      </w:r>
    </w:p>
    <w:p>
      <w:pPr>
        <w:spacing w:after="0" w:line="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Delhi Field – Enhanced Oil Recovery CO</w:t>
      </w:r>
      <w:r>
        <w:rPr>
          <w:rFonts w:ascii="Arial" w:cs="Arial" w:eastAsia="Arial" w:hAnsi="Arial"/>
          <w:sz w:val="26"/>
          <w:szCs w:val="26"/>
          <w:b w:val="1"/>
          <w:bCs w:val="1"/>
          <w:i w:val="1"/>
          <w:iCs w:val="1"/>
          <w:color w:val="auto"/>
          <w:vertAlign w:val="subscript"/>
        </w:rPr>
        <w:t>2</w:t>
      </w:r>
      <w:r>
        <w:rPr>
          <w:rFonts w:ascii="Arial" w:cs="Arial" w:eastAsia="Arial" w:hAnsi="Arial"/>
          <w:sz w:val="18"/>
          <w:szCs w:val="18"/>
          <w:b w:val="1"/>
          <w:bCs w:val="1"/>
          <w:i w:val="1"/>
          <w:iCs w:val="1"/>
          <w:color w:val="auto"/>
        </w:rPr>
        <w:t xml:space="preserve"> Flood – Onshore Louisiana</w:t>
      </w:r>
    </w:p>
    <w:p>
      <w:pPr>
        <w:spacing w:after="0" w:line="147" w:lineRule="exact"/>
        <w:rPr>
          <w:sz w:val="20"/>
          <w:szCs w:val="20"/>
          <w:color w:val="auto"/>
        </w:rPr>
      </w:pPr>
    </w:p>
    <w:p>
      <w:pPr>
        <w:ind w:left="60" w:right="359"/>
        <w:spacing w:after="0" w:line="379" w:lineRule="auto"/>
        <w:rPr>
          <w:sz w:val="20"/>
          <w:szCs w:val="20"/>
          <w:color w:val="auto"/>
        </w:rPr>
      </w:pPr>
      <w:r>
        <w:rPr>
          <w:rFonts w:ascii="Arial" w:cs="Arial" w:eastAsia="Arial" w:hAnsi="Arial"/>
          <w:sz w:val="16"/>
          <w:szCs w:val="16"/>
          <w:color w:val="auto"/>
        </w:rPr>
        <w:t>Our non-operated interests in the Delhi Field, a CO</w:t>
      </w:r>
      <w:r>
        <w:rPr>
          <w:rFonts w:ascii="Arial" w:cs="Arial" w:eastAsia="Arial" w:hAnsi="Arial"/>
          <w:sz w:val="23"/>
          <w:szCs w:val="23"/>
          <w:color w:val="auto"/>
          <w:vertAlign w:val="subscript"/>
        </w:rPr>
        <w:t>2</w:t>
      </w:r>
      <w:r>
        <w:rPr>
          <w:rFonts w:ascii="Arial" w:cs="Arial" w:eastAsia="Arial" w:hAnsi="Arial"/>
          <w:sz w:val="16"/>
          <w:szCs w:val="16"/>
          <w:color w:val="auto"/>
        </w:rPr>
        <w:t>-EOR project, consist of approximately 24% average net working interest, with an associated 19% revenue interest and separate overriding royalty and mineral interests of approximately</w:t>
      </w:r>
    </w:p>
    <w:p>
      <w:pPr>
        <w:sectPr>
          <w:pgSz w:w="11900" w:h="16838" w:orient="portrait"/>
          <w:cols w:equalWidth="0" w:num="1">
            <w:col w:w="9019"/>
          </w:cols>
          <w:pgMar w:left="1440" w:top="517" w:right="1440" w:bottom="1440" w:gutter="0" w:footer="0" w:header="0"/>
        </w:sect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79"/>
        <w:spacing w:after="0" w:line="311" w:lineRule="auto"/>
        <w:rPr>
          <w:sz w:val="20"/>
          <w:szCs w:val="20"/>
          <w:color w:val="auto"/>
        </w:rPr>
      </w:pPr>
      <w:r>
        <w:rPr>
          <w:rFonts w:ascii="Arial" w:cs="Arial" w:eastAsia="Arial" w:hAnsi="Arial"/>
          <w:sz w:val="16"/>
          <w:szCs w:val="16"/>
          <w:color w:val="auto"/>
        </w:rPr>
        <w:t>7% yielding a total average net revenue interest of approximately 26%. The field is operated by Denbury Onshore LLC (“Denbury”), a subsidiary of Denbury Inc. The Delhi Field is located in northeast Louisiana in Franklin, Madison, and Richland Parishes and encompasses approximately 14,000 gross unitized acres, or approximately 3,200 net acres.</w:t>
      </w:r>
    </w:p>
    <w:p>
      <w:pPr>
        <w:spacing w:after="0" w:line="149" w:lineRule="exact"/>
        <w:rPr>
          <w:sz w:val="20"/>
          <w:szCs w:val="20"/>
          <w:color w:val="auto"/>
        </w:rPr>
      </w:pPr>
    </w:p>
    <w:p>
      <w:pPr>
        <w:ind w:left="60" w:right="479"/>
        <w:spacing w:after="0" w:line="259" w:lineRule="auto"/>
        <w:rPr>
          <w:sz w:val="20"/>
          <w:szCs w:val="20"/>
          <w:color w:val="auto"/>
        </w:rPr>
      </w:pPr>
      <w:r>
        <w:rPr>
          <w:rFonts w:ascii="Arial" w:cs="Arial" w:eastAsia="Arial" w:hAnsi="Arial"/>
          <w:sz w:val="18"/>
          <w:szCs w:val="18"/>
          <w:color w:val="auto"/>
        </w:rPr>
        <w:t>For the year ended June 30, 2023, our average net daily production from the Delhi Field properties was 1.1 MBOEPD consisting of 80% oil and 20% NGLs. The primary producing reservoirs in the field are the Tuscaloosa and Paluxy formations. Produced oil from the field is priced off of Louisiana Light Sweet (“LLS”) crude, which often trades at a premium to West Texas Intermediate (“WTI").</w:t>
      </w:r>
    </w:p>
    <w:p>
      <w:pPr>
        <w:spacing w:after="0" w:line="187" w:lineRule="exact"/>
        <w:rPr>
          <w:sz w:val="20"/>
          <w:szCs w:val="20"/>
          <w:color w:val="auto"/>
        </w:rPr>
      </w:pPr>
    </w:p>
    <w:p>
      <w:pPr>
        <w:ind w:left="60" w:right="519"/>
        <w:spacing w:after="0" w:line="277" w:lineRule="auto"/>
        <w:rPr>
          <w:sz w:val="20"/>
          <w:szCs w:val="20"/>
          <w:color w:val="auto"/>
        </w:rPr>
      </w:pPr>
      <w:r>
        <w:rPr>
          <w:rFonts w:ascii="Arial" w:cs="Arial" w:eastAsia="Arial" w:hAnsi="Arial"/>
          <w:sz w:val="18"/>
          <w:szCs w:val="18"/>
          <w:color w:val="auto"/>
        </w:rPr>
        <w:t>Refer to “</w:t>
      </w:r>
      <w:r>
        <w:rPr>
          <w:rFonts w:ascii="Arial" w:cs="Arial" w:eastAsia="Arial" w:hAnsi="Arial"/>
          <w:sz w:val="18"/>
          <w:szCs w:val="18"/>
          <w:i w:val="1"/>
          <w:iCs w:val="1"/>
          <w:color w:val="auto"/>
        </w:rPr>
        <w:t>Production volumes, average sales price and average production costs</w:t>
      </w:r>
      <w:r>
        <w:rPr>
          <w:rFonts w:ascii="Arial" w:cs="Arial" w:eastAsia="Arial" w:hAnsi="Arial"/>
          <w:sz w:val="18"/>
          <w:szCs w:val="18"/>
          <w:color w:val="auto"/>
        </w:rPr>
        <w:t>” table below for further information regarding our properties and their fiscal year results.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Estimated Oil and Natural Gas Reserves and Estimated Future Net Revenues</w:t>
      </w:r>
    </w:p>
    <w:p>
      <w:pPr>
        <w:spacing w:after="0" w:line="229" w:lineRule="exact"/>
        <w:rPr>
          <w:sz w:val="20"/>
          <w:szCs w:val="20"/>
          <w:color w:val="auto"/>
        </w:rPr>
      </w:pPr>
    </w:p>
    <w:p>
      <w:pPr>
        <w:ind w:left="60" w:right="159"/>
        <w:spacing w:after="0" w:line="286" w:lineRule="auto"/>
        <w:rPr>
          <w:sz w:val="20"/>
          <w:szCs w:val="20"/>
          <w:color w:val="auto"/>
        </w:rPr>
      </w:pPr>
      <w:r>
        <w:rPr>
          <w:rFonts w:ascii="Arial" w:cs="Arial" w:eastAsia="Arial" w:hAnsi="Arial"/>
          <w:sz w:val="16"/>
          <w:szCs w:val="16"/>
          <w:color w:val="auto"/>
        </w:rPr>
        <w:t>The Securities and Exchange Commission (“SEC”) sets rules related to reserve estimation and disclosure requirements for oil and natural gas companies. These rules require disclosure of oil and natural gas proved reserves by significant geographic area, using the trailing 12-month average price, calculated as the unweighted arithmetic average of the first-day-of-the-month price for each month within the 12-month period prior to the end of the reporting period, rather</w:t>
      </w:r>
    </w:p>
    <w:p>
      <w:pPr>
        <w:spacing w:after="0" w:line="1" w:lineRule="exact"/>
        <w:rPr>
          <w:sz w:val="20"/>
          <w:szCs w:val="20"/>
          <w:color w:val="auto"/>
        </w:rPr>
      </w:pPr>
    </w:p>
    <w:p>
      <w:pPr>
        <w:ind w:left="60" w:right="199"/>
        <w:spacing w:after="0" w:line="273" w:lineRule="auto"/>
        <w:rPr>
          <w:sz w:val="20"/>
          <w:szCs w:val="20"/>
          <w:color w:val="auto"/>
        </w:rPr>
      </w:pPr>
      <w:r>
        <w:rPr>
          <w:rFonts w:ascii="Arial" w:cs="Arial" w:eastAsia="Arial" w:hAnsi="Arial"/>
          <w:sz w:val="17"/>
          <w:szCs w:val="17"/>
          <w:color w:val="auto"/>
        </w:rPr>
        <w:t>than year-end prices, and allows the use of new technologies in the determination of proved reserves if those technologies have been demonstrated empirically to lead to reliable conclusions about reserve volumes. Subject to limited exceptions, the rules also require that proved undeveloped reserves may only be classified as such if a development plan has been adopted indicating that they are scheduled to be drilled within five years.</w:t>
      </w:r>
    </w:p>
    <w:p>
      <w:pPr>
        <w:spacing w:after="0" w:line="176" w:lineRule="exact"/>
        <w:rPr>
          <w:sz w:val="20"/>
          <w:szCs w:val="20"/>
          <w:color w:val="auto"/>
        </w:rPr>
      </w:pPr>
    </w:p>
    <w:p>
      <w:pPr>
        <w:ind w:left="60" w:right="239"/>
        <w:spacing w:after="0" w:line="342" w:lineRule="auto"/>
        <w:rPr>
          <w:sz w:val="20"/>
          <w:szCs w:val="20"/>
          <w:color w:val="auto"/>
        </w:rPr>
      </w:pPr>
      <w:r>
        <w:rPr>
          <w:rFonts w:ascii="Arial" w:cs="Arial" w:eastAsia="Arial" w:hAnsi="Arial"/>
          <w:sz w:val="16"/>
          <w:szCs w:val="16"/>
          <w:color w:val="auto"/>
        </w:rPr>
        <w:t>There are numerous uncertainties inherent in estimating quantities of proved reserves and estimates of reserves quantities and values must be viewed as being subject to significant change as more data about the properties becomes available.</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Summary of Oil &amp; Gas Reserves for Fiscal Year Ended 2023</w:t>
      </w:r>
    </w:p>
    <w:p>
      <w:pPr>
        <w:spacing w:after="0" w:line="225" w:lineRule="exact"/>
        <w:rPr>
          <w:sz w:val="20"/>
          <w:szCs w:val="20"/>
          <w:color w:val="auto"/>
        </w:rPr>
      </w:pPr>
    </w:p>
    <w:p>
      <w:pPr>
        <w:jc w:val="both"/>
        <w:ind w:left="60" w:right="139"/>
        <w:spacing w:after="0" w:line="263" w:lineRule="auto"/>
        <w:rPr>
          <w:sz w:val="20"/>
          <w:szCs w:val="20"/>
          <w:color w:val="auto"/>
        </w:rPr>
      </w:pPr>
      <w:r>
        <w:rPr>
          <w:rFonts w:ascii="Arial" w:cs="Arial" w:eastAsia="Arial" w:hAnsi="Arial"/>
          <w:sz w:val="18"/>
          <w:szCs w:val="18"/>
          <w:color w:val="auto"/>
        </w:rPr>
        <w:t>Our proved reserves as of June 30, 2023, denominated in thousands of barrels of oil equivalent (“MBOE”), were estimated by our independent reservoir engineers, Netherland, Sewell &amp; Associates, Inc. (“NSAI”) and DeGolyer and MacNaughton (“D&amp;M”), both worldwide petroleum consultants.</w:t>
      </w:r>
    </w:p>
    <w:p>
      <w:pPr>
        <w:spacing w:after="0" w:line="184" w:lineRule="exact"/>
        <w:rPr>
          <w:sz w:val="20"/>
          <w:szCs w:val="20"/>
          <w:color w:val="auto"/>
        </w:rPr>
      </w:pPr>
    </w:p>
    <w:p>
      <w:pPr>
        <w:jc w:val="both"/>
        <w:ind w:left="60" w:right="279"/>
        <w:spacing w:after="0" w:line="311" w:lineRule="auto"/>
        <w:rPr>
          <w:sz w:val="20"/>
          <w:szCs w:val="20"/>
          <w:color w:val="auto"/>
        </w:rPr>
      </w:pPr>
      <w:r>
        <w:rPr>
          <w:rFonts w:ascii="Arial" w:cs="Arial" w:eastAsia="Arial" w:hAnsi="Arial"/>
          <w:sz w:val="16"/>
          <w:szCs w:val="16"/>
          <w:color w:val="auto"/>
        </w:rPr>
        <w:t>NSAI evaluated the reserves for our Jonah Field and Williston Basin properties. NSAI began evaluating these properties when we acquired each of them during the fiscal year ended June 30, 2022. The scope and results of their procedures are summarized in a letter from the firm, which is included as Exhibit 99.1 to this Annual Report on Form 10-K.</w:t>
      </w:r>
    </w:p>
    <w:p>
      <w:pPr>
        <w:spacing w:after="0" w:line="149" w:lineRule="exact"/>
        <w:rPr>
          <w:sz w:val="20"/>
          <w:szCs w:val="20"/>
          <w:color w:val="auto"/>
        </w:rPr>
      </w:pPr>
    </w:p>
    <w:p>
      <w:pPr>
        <w:ind w:left="60" w:right="279"/>
        <w:spacing w:after="0" w:line="263" w:lineRule="auto"/>
        <w:rPr>
          <w:sz w:val="20"/>
          <w:szCs w:val="20"/>
          <w:color w:val="auto"/>
        </w:rPr>
      </w:pPr>
      <w:r>
        <w:rPr>
          <w:rFonts w:ascii="Arial" w:cs="Arial" w:eastAsia="Arial" w:hAnsi="Arial"/>
          <w:sz w:val="18"/>
          <w:szCs w:val="18"/>
          <w:color w:val="auto"/>
        </w:rPr>
        <w:t>D&amp;M evaluated the reserves for our Barnett Shale, Hamilton Dome, and Delhi Field properties. The scope and results of their procedures are summarized in a letter from the firm, which is included as Exhibit 99.2 to this Annual Report on Form 10-K.</w:t>
      </w:r>
    </w:p>
    <w:p>
      <w:pPr>
        <w:spacing w:after="0" w:line="184" w:lineRule="exact"/>
        <w:rPr>
          <w:sz w:val="20"/>
          <w:szCs w:val="20"/>
          <w:color w:val="auto"/>
        </w:rPr>
      </w:pPr>
    </w:p>
    <w:p>
      <w:pPr>
        <w:ind w:left="60" w:right="139"/>
        <w:spacing w:after="0" w:line="270" w:lineRule="auto"/>
        <w:rPr>
          <w:sz w:val="20"/>
          <w:szCs w:val="20"/>
          <w:color w:val="auto"/>
        </w:rPr>
      </w:pPr>
      <w:r>
        <w:rPr>
          <w:rFonts w:ascii="Arial" w:cs="Arial" w:eastAsia="Arial" w:hAnsi="Arial"/>
          <w:sz w:val="17"/>
          <w:szCs w:val="17"/>
          <w:color w:val="auto"/>
        </w:rPr>
        <w:t xml:space="preserve">The following table sets forth our estimated proved reserves as of June 30, 2023. For additional reserve information, see our </w:t>
      </w:r>
      <w:r>
        <w:rPr>
          <w:rFonts w:ascii="Arial" w:cs="Arial" w:eastAsia="Arial" w:hAnsi="Arial"/>
          <w:sz w:val="17"/>
          <w:szCs w:val="17"/>
          <w:i w:val="1"/>
          <w:iCs w:val="1"/>
          <w:color w:val="auto"/>
        </w:rPr>
        <w:t>Supplemental Disclosure about Oil and Natural Gas Properties (unaudited)</w:t>
      </w:r>
      <w:r>
        <w:rPr>
          <w:rFonts w:ascii="Arial" w:cs="Arial" w:eastAsia="Arial" w:hAnsi="Arial"/>
          <w:sz w:val="17"/>
          <w:szCs w:val="17"/>
          <w:color w:val="auto"/>
        </w:rPr>
        <w:t xml:space="preserve"> to our consolidated financial statements in Item 8.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The New York Mercantile Exchange (“NYMEX”) previous 12-month unweighted arithmetic average first-day-of-the-month price used to calculate estimated revenues was $83.23 per barrel of oil and $4.78 per MMBtu of natural gas. The net price per barrel of NGLs was $33.71, which does not have any single comparable reference index price. The NGL price was based on historical prices received. For periods for which no historical price information was available, we used comparable pricing in the geographic area. Pricing differentials were applied based on quality, processing, transportation, location and other pricing aspects for each individual property and product.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Proved Reserves as of June 30, 2023</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4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Oil</w:t>
            </w: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Natural Gas</w:t>
            </w: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NGLs</w:t>
            </w:r>
          </w:p>
        </w:tc>
        <w:tc>
          <w:tcPr>
            <w:tcW w:w="1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Total Reserves</w:t>
            </w:r>
          </w:p>
        </w:tc>
        <w:tc>
          <w:tcPr>
            <w:tcW w:w="1240" w:type="dxa"/>
            <w:vAlign w:val="bottom"/>
          </w:tcPr>
          <w:p>
            <w:pPr>
              <w:jc w:val="right"/>
              <w:ind w:right="199"/>
              <w:spacing w:after="0"/>
              <w:rPr>
                <w:sz w:val="20"/>
                <w:szCs w:val="20"/>
                <w:color w:val="auto"/>
              </w:rPr>
            </w:pPr>
            <w:r>
              <w:rPr>
                <w:rFonts w:ascii="Arial" w:cs="Arial" w:eastAsia="Arial" w:hAnsi="Arial"/>
                <w:sz w:val="16"/>
                <w:szCs w:val="16"/>
                <w:b w:val="1"/>
                <w:bCs w:val="1"/>
                <w:color w:val="auto"/>
              </w:rPr>
              <w:t>Percent of</w:t>
            </w:r>
          </w:p>
        </w:tc>
      </w:tr>
      <w:tr>
        <w:trPr>
          <w:trHeight w:val="226"/>
        </w:trPr>
        <w:tc>
          <w:tcPr>
            <w:tcW w:w="2380" w:type="dxa"/>
            <w:vAlign w:val="bottom"/>
            <w:gridSpan w:val="4"/>
          </w:tcPr>
          <w:p>
            <w:pPr>
              <w:ind w:left="420"/>
              <w:spacing w:after="0"/>
              <w:rPr>
                <w:sz w:val="20"/>
                <w:szCs w:val="20"/>
                <w:color w:val="auto"/>
              </w:rPr>
            </w:pPr>
            <w:r>
              <w:rPr>
                <w:rFonts w:ascii="Arial" w:cs="Arial" w:eastAsia="Arial" w:hAnsi="Arial"/>
                <w:sz w:val="16"/>
                <w:szCs w:val="16"/>
                <w:b w:val="1"/>
                <w:bCs w:val="1"/>
                <w:color w:val="auto"/>
              </w:rPr>
              <w:t>Reserve Category</w:t>
            </w: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(MBbls)</w:t>
            </w: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(MMcf)</w:t>
            </w: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(MBbls)</w:t>
            </w:r>
          </w:p>
        </w:tc>
        <w:tc>
          <w:tcPr>
            <w:tcW w:w="1300" w:type="dxa"/>
            <w:vAlign w:val="bottom"/>
            <w:gridSpan w:val="2"/>
          </w:tcPr>
          <w:p>
            <w:pPr>
              <w:jc w:val="center"/>
              <w:ind w:right="240"/>
              <w:spacing w:after="0" w:line="226" w:lineRule="exact"/>
              <w:rPr>
                <w:sz w:val="20"/>
                <w:szCs w:val="20"/>
                <w:color w:val="auto"/>
              </w:rPr>
            </w:pPr>
            <w:r>
              <w:rPr>
                <w:rFonts w:ascii="Arial" w:cs="Arial" w:eastAsia="Arial" w:hAnsi="Arial"/>
                <w:sz w:val="16"/>
                <w:szCs w:val="16"/>
                <w:b w:val="1"/>
                <w:bCs w:val="1"/>
                <w:color w:val="auto"/>
                <w:w w:val="94"/>
              </w:rPr>
              <w:t>(MBOE)</w:t>
            </w:r>
            <w:r>
              <w:rPr>
                <w:rFonts w:ascii="Arial" w:cs="Arial" w:eastAsia="Arial" w:hAnsi="Arial"/>
                <w:sz w:val="24"/>
                <w:szCs w:val="24"/>
                <w:i w:val="1"/>
                <w:iCs w:val="1"/>
                <w:color w:val="auto"/>
                <w:w w:val="94"/>
                <w:vertAlign w:val="superscript"/>
              </w:rPr>
              <w:t>(1)</w:t>
            </w:r>
          </w:p>
        </w:tc>
        <w:tc>
          <w:tcPr>
            <w:tcW w:w="1240" w:type="dxa"/>
            <w:vAlign w:val="bottom"/>
          </w:tcPr>
          <w:p>
            <w:pPr>
              <w:jc w:val="right"/>
              <w:ind w:right="119"/>
              <w:spacing w:after="0"/>
              <w:rPr>
                <w:sz w:val="20"/>
                <w:szCs w:val="20"/>
                <w:color w:val="auto"/>
              </w:rPr>
            </w:pPr>
            <w:r>
              <w:rPr>
                <w:rFonts w:ascii="Arial" w:cs="Arial" w:eastAsia="Arial" w:hAnsi="Arial"/>
                <w:sz w:val="16"/>
                <w:szCs w:val="16"/>
                <w:b w:val="1"/>
                <w:bCs w:val="1"/>
                <w:color w:val="auto"/>
              </w:rPr>
              <w:t>Total Proved</w:t>
            </w:r>
          </w:p>
        </w:tc>
      </w:tr>
      <w:tr>
        <w:trPr>
          <w:trHeight w:val="196"/>
        </w:trPr>
        <w:tc>
          <w:tcPr>
            <w:tcW w:w="420" w:type="dxa"/>
            <w:vAlign w:val="bottom"/>
          </w:tcPr>
          <w:p>
            <w:pPr>
              <w:spacing w:after="0"/>
              <w:rPr>
                <w:sz w:val="17"/>
                <w:szCs w:val="17"/>
                <w:color w:val="auto"/>
              </w:rPr>
            </w:pPr>
          </w:p>
        </w:tc>
        <w:tc>
          <w:tcPr>
            <w:tcW w:w="17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Proved: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19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Developed Producing</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7,062</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90,103</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5,263</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27,343</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87.7 %</w:t>
            </w:r>
          </w:p>
        </w:tc>
      </w:tr>
      <w:tr>
        <w:trPr>
          <w:trHeight w:val="193"/>
        </w:trPr>
        <w:tc>
          <w:tcPr>
            <w:tcW w:w="420" w:type="dxa"/>
            <w:vAlign w:val="bottom"/>
          </w:tcPr>
          <w:p>
            <w:pPr>
              <w:spacing w:after="0"/>
              <w:rPr>
                <w:sz w:val="16"/>
                <w:szCs w:val="16"/>
                <w:color w:val="auto"/>
              </w:rPr>
            </w:pPr>
          </w:p>
        </w:tc>
        <w:tc>
          <w:tcPr>
            <w:tcW w:w="1960" w:type="dxa"/>
            <w:vAlign w:val="bottom"/>
            <w:gridSpan w:val="3"/>
          </w:tcPr>
          <w:p>
            <w:pPr>
              <w:spacing w:after="0"/>
              <w:rPr>
                <w:sz w:val="20"/>
                <w:szCs w:val="20"/>
                <w:color w:val="auto"/>
              </w:rPr>
            </w:pPr>
            <w:r>
              <w:rPr>
                <w:rFonts w:ascii="Arial" w:cs="Arial" w:eastAsia="Arial" w:hAnsi="Arial"/>
                <w:sz w:val="16"/>
                <w:szCs w:val="16"/>
                <w:color w:val="auto"/>
              </w:rPr>
              <w:t>Developed Non-</w:t>
            </w: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6"/>
        </w:trPr>
        <w:tc>
          <w:tcPr>
            <w:tcW w:w="2380" w:type="dxa"/>
            <w:vAlign w:val="bottom"/>
            <w:gridSpan w:val="4"/>
          </w:tcPr>
          <w:p>
            <w:pPr>
              <w:ind w:left="420"/>
              <w:spacing w:after="0"/>
              <w:rPr>
                <w:sz w:val="20"/>
                <w:szCs w:val="20"/>
                <w:color w:val="auto"/>
              </w:rPr>
            </w:pPr>
            <w:r>
              <w:rPr>
                <w:rFonts w:ascii="Arial" w:cs="Arial" w:eastAsia="Arial" w:hAnsi="Arial"/>
                <w:sz w:val="16"/>
                <w:szCs w:val="16"/>
                <w:color w:val="auto"/>
              </w:rPr>
              <w:t>Producing</w:t>
            </w:r>
          </w:p>
        </w:tc>
        <w:tc>
          <w:tcPr>
            <w:tcW w:w="960" w:type="dxa"/>
            <w:vAlign w:val="bottom"/>
          </w:tcPr>
          <w:p>
            <w:pPr>
              <w:jc w:val="right"/>
              <w:spacing w:after="0"/>
              <w:rPr>
                <w:sz w:val="20"/>
                <w:szCs w:val="20"/>
                <w:color w:val="auto"/>
              </w:rPr>
            </w:pPr>
            <w:r>
              <w:rPr>
                <w:rFonts w:ascii="Arial" w:cs="Arial" w:eastAsia="Arial" w:hAnsi="Arial"/>
                <w:sz w:val="16"/>
                <w:szCs w:val="16"/>
                <w:color w:val="auto"/>
              </w:rPr>
              <w:t>122</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136</w:t>
            </w:r>
          </w:p>
        </w:tc>
        <w:tc>
          <w:tcPr>
            <w:tcW w:w="24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0.4 %</w:t>
            </w:r>
          </w:p>
        </w:tc>
      </w:tr>
      <w:tr>
        <w:trPr>
          <w:trHeight w:val="208"/>
        </w:trPr>
        <w:tc>
          <w:tcPr>
            <w:tcW w:w="420" w:type="dxa"/>
            <w:vAlign w:val="bottom"/>
          </w:tcPr>
          <w:p>
            <w:pPr>
              <w:spacing w:after="0"/>
              <w:rPr>
                <w:sz w:val="18"/>
                <w:szCs w:val="18"/>
                <w:color w:val="auto"/>
              </w:rPr>
            </w:pPr>
          </w:p>
        </w:tc>
        <w:tc>
          <w:tcPr>
            <w:tcW w:w="19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Undeveloped</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2,687</w:t>
            </w:r>
          </w:p>
        </w:tc>
        <w:tc>
          <w:tcPr>
            <w:tcW w:w="24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2,431</w:t>
            </w:r>
          </w:p>
        </w:tc>
        <w:tc>
          <w:tcPr>
            <w:tcW w:w="24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2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3,697</w:t>
            </w:r>
          </w:p>
        </w:tc>
        <w:tc>
          <w:tcPr>
            <w:tcW w:w="24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11.9 %</w:t>
            </w:r>
          </w:p>
        </w:tc>
      </w:tr>
      <w:tr>
        <w:trPr>
          <w:trHeight w:val="236"/>
        </w:trPr>
        <w:tc>
          <w:tcPr>
            <w:tcW w:w="420" w:type="dxa"/>
            <w:vAlign w:val="bottom"/>
          </w:tcPr>
          <w:p>
            <w:pPr>
              <w:spacing w:after="0"/>
              <w:rPr>
                <w:sz w:val="20"/>
                <w:szCs w:val="20"/>
                <w:color w:val="auto"/>
              </w:rPr>
            </w:pPr>
          </w:p>
        </w:tc>
        <w:tc>
          <w:tcPr>
            <w:tcW w:w="196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b w:val="1"/>
                <w:bCs w:val="1"/>
                <w:color w:val="auto"/>
              </w:rPr>
              <w:t>Total Proved</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9,871</w:t>
            </w:r>
          </w:p>
        </w:tc>
        <w:tc>
          <w:tcPr>
            <w:tcW w:w="24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92,563</w:t>
            </w:r>
          </w:p>
        </w:tc>
        <w:tc>
          <w:tcPr>
            <w:tcW w:w="24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5,877</w:t>
            </w:r>
          </w:p>
        </w:tc>
        <w:tc>
          <w:tcPr>
            <w:tcW w:w="22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31,176</w:t>
            </w:r>
          </w:p>
        </w:tc>
        <w:tc>
          <w:tcPr>
            <w:tcW w:w="24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100.0 %</w:t>
            </w:r>
          </w:p>
        </w:tc>
      </w:tr>
      <w:tr>
        <w:trPr>
          <w:trHeight w:val="183"/>
        </w:trPr>
        <w:tc>
          <w:tcPr>
            <w:tcW w:w="420" w:type="dxa"/>
            <w:vAlign w:val="bottom"/>
          </w:tcPr>
          <w:p>
            <w:pPr>
              <w:spacing w:after="0"/>
              <w:rPr>
                <w:sz w:val="15"/>
                <w:szCs w:val="15"/>
                <w:color w:val="auto"/>
              </w:rPr>
            </w:pPr>
          </w:p>
        </w:tc>
        <w:tc>
          <w:tcPr>
            <w:tcW w:w="1960" w:type="dxa"/>
            <w:vAlign w:val="bottom"/>
            <w:gridSpan w:val="3"/>
            <w:shd w:val="clear" w:color="auto" w:fill="CCEEFF"/>
          </w:tcPr>
          <w:p>
            <w:pPr>
              <w:spacing w:after="0" w:line="166" w:lineRule="exact"/>
              <w:rPr>
                <w:sz w:val="20"/>
                <w:szCs w:val="20"/>
                <w:color w:val="auto"/>
              </w:rPr>
            </w:pPr>
            <w:r>
              <w:rPr>
                <w:rFonts w:ascii="Arial" w:cs="Arial" w:eastAsia="Arial" w:hAnsi="Arial"/>
                <w:sz w:val="16"/>
                <w:szCs w:val="16"/>
                <w:color w:val="auto"/>
              </w:rPr>
              <w:t>Product Mix</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391"/>
        </w:trPr>
        <w:tc>
          <w:tcPr>
            <w:tcW w:w="2380" w:type="dxa"/>
            <w:vAlign w:val="bottom"/>
            <w:gridSpan w:val="4"/>
          </w:tcPr>
          <w:p>
            <w:pPr>
              <w:ind w:left="420"/>
              <w:spacing w:after="0"/>
              <w:rPr>
                <w:sz w:val="20"/>
                <w:szCs w:val="20"/>
                <w:color w:val="auto"/>
              </w:rPr>
            </w:pPr>
            <w:r>
              <w:rPr>
                <w:rFonts w:ascii="Arial" w:cs="Arial" w:eastAsia="Arial" w:hAnsi="Arial"/>
                <w:sz w:val="16"/>
                <w:szCs w:val="16"/>
                <w:b w:val="1"/>
                <w:bCs w:val="1"/>
                <w:color w:val="auto"/>
              </w:rPr>
              <w:t>Total Proved by</w:t>
            </w: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0"/>
        </w:trPr>
        <w:tc>
          <w:tcPr>
            <w:tcW w:w="2380" w:type="dxa"/>
            <w:vAlign w:val="bottom"/>
            <w:gridSpan w:val="4"/>
          </w:tcPr>
          <w:p>
            <w:pPr>
              <w:ind w:left="420"/>
              <w:spacing w:after="0"/>
              <w:rPr>
                <w:sz w:val="20"/>
                <w:szCs w:val="20"/>
                <w:color w:val="auto"/>
              </w:rPr>
            </w:pPr>
            <w:r>
              <w:rPr>
                <w:rFonts w:ascii="Arial" w:cs="Arial" w:eastAsia="Arial" w:hAnsi="Arial"/>
                <w:sz w:val="16"/>
                <w:szCs w:val="16"/>
                <w:b w:val="1"/>
                <w:bCs w:val="1"/>
                <w:color w:val="auto"/>
              </w:rPr>
              <w:t>Property:</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08"/>
        </w:trPr>
        <w:tc>
          <w:tcPr>
            <w:tcW w:w="420" w:type="dxa"/>
            <w:vAlign w:val="bottom"/>
          </w:tcPr>
          <w:p>
            <w:pPr>
              <w:spacing w:after="0"/>
              <w:rPr>
                <w:sz w:val="18"/>
                <w:szCs w:val="18"/>
                <w:color w:val="auto"/>
              </w:rPr>
            </w:pPr>
          </w:p>
        </w:tc>
        <w:tc>
          <w:tcPr>
            <w:tcW w:w="19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Jonah Field</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34,743</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6,554</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21.0 %</w:t>
            </w:r>
          </w:p>
        </w:tc>
      </w:tr>
      <w:tr>
        <w:trPr>
          <w:trHeight w:val="203"/>
        </w:trPr>
        <w:tc>
          <w:tcPr>
            <w:tcW w:w="420" w:type="dxa"/>
            <w:vAlign w:val="bottom"/>
          </w:tcPr>
          <w:p>
            <w:pPr>
              <w:spacing w:after="0"/>
              <w:rPr>
                <w:sz w:val="17"/>
                <w:szCs w:val="17"/>
                <w:color w:val="auto"/>
              </w:rPr>
            </w:pPr>
          </w:p>
        </w:tc>
        <w:tc>
          <w:tcPr>
            <w:tcW w:w="1960" w:type="dxa"/>
            <w:vAlign w:val="bottom"/>
            <w:gridSpan w:val="3"/>
          </w:tcPr>
          <w:p>
            <w:pPr>
              <w:spacing w:after="0"/>
              <w:rPr>
                <w:sz w:val="20"/>
                <w:szCs w:val="20"/>
                <w:color w:val="auto"/>
              </w:rPr>
            </w:pPr>
            <w:r>
              <w:rPr>
                <w:rFonts w:ascii="Arial" w:cs="Arial" w:eastAsia="Arial" w:hAnsi="Arial"/>
                <w:sz w:val="16"/>
                <w:szCs w:val="16"/>
                <w:color w:val="auto"/>
              </w:rPr>
              <w:t>Williston Basin</w:t>
            </w:r>
          </w:p>
        </w:tc>
        <w:tc>
          <w:tcPr>
            <w:tcW w:w="960" w:type="dxa"/>
            <w:vAlign w:val="bottom"/>
          </w:tcPr>
          <w:p>
            <w:pPr>
              <w:jc w:val="right"/>
              <w:spacing w:after="0"/>
              <w:rPr>
                <w:sz w:val="20"/>
                <w:szCs w:val="20"/>
                <w:color w:val="auto"/>
              </w:rPr>
            </w:pPr>
            <w:r>
              <w:rPr>
                <w:rFonts w:ascii="Arial" w:cs="Arial" w:eastAsia="Arial" w:hAnsi="Arial"/>
                <w:sz w:val="16"/>
                <w:szCs w:val="16"/>
                <w:color w:val="auto"/>
              </w:rPr>
              <w:t>4,219</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3,655</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886</w:t>
            </w: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5,714</w:t>
            </w:r>
          </w:p>
        </w:tc>
        <w:tc>
          <w:tcPr>
            <w:tcW w:w="24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18.3 %</w:t>
            </w:r>
          </w:p>
        </w:tc>
      </w:tr>
      <w:tr>
        <w:trPr>
          <w:trHeight w:val="203"/>
        </w:trPr>
        <w:tc>
          <w:tcPr>
            <w:tcW w:w="420" w:type="dxa"/>
            <w:vAlign w:val="bottom"/>
          </w:tcPr>
          <w:p>
            <w:pPr>
              <w:spacing w:after="0"/>
              <w:rPr>
                <w:sz w:val="17"/>
                <w:szCs w:val="17"/>
                <w:color w:val="auto"/>
              </w:rPr>
            </w:pPr>
          </w:p>
        </w:tc>
        <w:tc>
          <w:tcPr>
            <w:tcW w:w="19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Barnett Shale</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54,165</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3,380</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12,498</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40.1 %</w:t>
            </w:r>
          </w:p>
        </w:tc>
      </w:tr>
      <w:tr>
        <w:trPr>
          <w:trHeight w:val="203"/>
        </w:trPr>
        <w:tc>
          <w:tcPr>
            <w:tcW w:w="420" w:type="dxa"/>
            <w:vAlign w:val="bottom"/>
          </w:tcPr>
          <w:p>
            <w:pPr>
              <w:spacing w:after="0"/>
              <w:rPr>
                <w:sz w:val="17"/>
                <w:szCs w:val="17"/>
                <w:color w:val="auto"/>
              </w:rPr>
            </w:pPr>
          </w:p>
        </w:tc>
        <w:tc>
          <w:tcPr>
            <w:tcW w:w="1960" w:type="dxa"/>
            <w:vAlign w:val="bottom"/>
            <w:gridSpan w:val="3"/>
          </w:tcPr>
          <w:p>
            <w:pPr>
              <w:spacing w:after="0"/>
              <w:rPr>
                <w:sz w:val="20"/>
                <w:szCs w:val="20"/>
                <w:color w:val="auto"/>
              </w:rPr>
            </w:pPr>
            <w:r>
              <w:rPr>
                <w:rFonts w:ascii="Arial" w:cs="Arial" w:eastAsia="Arial" w:hAnsi="Arial"/>
                <w:sz w:val="16"/>
                <w:szCs w:val="16"/>
                <w:color w:val="auto"/>
              </w:rPr>
              <w:t>Hamilton Dome Field</w:t>
            </w:r>
          </w:p>
        </w:tc>
        <w:tc>
          <w:tcPr>
            <w:tcW w:w="960" w:type="dxa"/>
            <w:vAlign w:val="bottom"/>
          </w:tcPr>
          <w:p>
            <w:pPr>
              <w:jc w:val="right"/>
              <w:spacing w:after="0"/>
              <w:rPr>
                <w:sz w:val="20"/>
                <w:szCs w:val="20"/>
                <w:color w:val="auto"/>
              </w:rPr>
            </w:pPr>
            <w:r>
              <w:rPr>
                <w:rFonts w:ascii="Arial" w:cs="Arial" w:eastAsia="Arial" w:hAnsi="Arial"/>
                <w:sz w:val="16"/>
                <w:szCs w:val="16"/>
                <w:color w:val="auto"/>
              </w:rPr>
              <w:t>2,331</w:t>
            </w:r>
          </w:p>
        </w:tc>
        <w:tc>
          <w:tcPr>
            <w:tcW w:w="240" w:type="dxa"/>
            <w:vAlign w:val="bottom"/>
          </w:tcPr>
          <w:p>
            <w:pPr>
              <w:spacing w:after="0"/>
              <w:rPr>
                <w:sz w:val="17"/>
                <w:szCs w:val="17"/>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2,331</w:t>
            </w:r>
          </w:p>
        </w:tc>
        <w:tc>
          <w:tcPr>
            <w:tcW w:w="24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7.5 %</w:t>
            </w:r>
          </w:p>
        </w:tc>
      </w:tr>
      <w:tr>
        <w:trPr>
          <w:trHeight w:val="203"/>
        </w:trPr>
        <w:tc>
          <w:tcPr>
            <w:tcW w:w="420" w:type="dxa"/>
            <w:vAlign w:val="bottom"/>
          </w:tcPr>
          <w:p>
            <w:pPr>
              <w:spacing w:after="0"/>
              <w:rPr>
                <w:sz w:val="17"/>
                <w:szCs w:val="17"/>
                <w:color w:val="auto"/>
              </w:rPr>
            </w:pPr>
          </w:p>
        </w:tc>
        <w:tc>
          <w:tcPr>
            <w:tcW w:w="19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Delhi Field</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2,885</w:t>
            </w:r>
          </w:p>
        </w:tc>
        <w:tc>
          <w:tcPr>
            <w:tcW w:w="2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1,194</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4,079</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13.1 %</w:t>
            </w:r>
          </w:p>
        </w:tc>
      </w:tr>
      <w:tr>
        <w:trPr>
          <w:trHeight w:val="196"/>
        </w:trPr>
        <w:tc>
          <w:tcPr>
            <w:tcW w:w="420" w:type="dxa"/>
            <w:vAlign w:val="bottom"/>
          </w:tcPr>
          <w:p>
            <w:pPr>
              <w:spacing w:after="0"/>
              <w:rPr>
                <w:sz w:val="17"/>
                <w:szCs w:val="17"/>
                <w:color w:val="auto"/>
              </w:rPr>
            </w:pPr>
          </w:p>
        </w:tc>
        <w:tc>
          <w:tcPr>
            <w:tcW w:w="1960" w:type="dxa"/>
            <w:vAlign w:val="bottom"/>
            <w:gridSpan w:val="3"/>
          </w:tcPr>
          <w:p>
            <w:pPr>
              <w:spacing w:after="0"/>
              <w:rPr>
                <w:sz w:val="20"/>
                <w:szCs w:val="20"/>
                <w:color w:val="auto"/>
              </w:rPr>
            </w:pPr>
            <w:r>
              <w:rPr>
                <w:rFonts w:ascii="Arial" w:cs="Arial" w:eastAsia="Arial" w:hAnsi="Arial"/>
                <w:sz w:val="16"/>
                <w:szCs w:val="16"/>
                <w:b w:val="1"/>
                <w:bCs w:val="1"/>
                <w:color w:val="auto"/>
              </w:rPr>
              <w:t>Total Proved</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9,871</w:t>
            </w:r>
          </w:p>
        </w:tc>
        <w:tc>
          <w:tcPr>
            <w:tcW w:w="24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92,563</w:t>
            </w:r>
          </w:p>
        </w:tc>
        <w:tc>
          <w:tcPr>
            <w:tcW w:w="24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5,877</w:t>
            </w:r>
          </w:p>
        </w:tc>
        <w:tc>
          <w:tcPr>
            <w:tcW w:w="22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31,176</w:t>
            </w:r>
          </w:p>
        </w:tc>
        <w:tc>
          <w:tcPr>
            <w:tcW w:w="24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100.0 %</w:t>
            </w:r>
          </w:p>
        </w:tc>
      </w:tr>
      <w:tr>
        <w:trPr>
          <w:trHeight w:val="20"/>
        </w:trPr>
        <w:tc>
          <w:tcPr>
            <w:tcW w:w="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16"/>
        </w:trPr>
        <w:tc>
          <w:tcPr>
            <w:tcW w:w="42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r>
    </w:tbl>
    <w:p>
      <w:pPr>
        <w:spacing w:after="0" w:line="94" w:lineRule="exact"/>
        <w:rPr>
          <w:sz w:val="20"/>
          <w:szCs w:val="20"/>
          <w:color w:val="auto"/>
        </w:rPr>
      </w:pPr>
    </w:p>
    <w:p>
      <w:pPr>
        <w:ind w:left="380" w:right="339" w:hanging="330"/>
        <w:spacing w:after="0" w:line="219" w:lineRule="auto"/>
        <w:tabs>
          <w:tab w:leader="none" w:pos="380" w:val="left"/>
        </w:tabs>
        <w:numPr>
          <w:ilvl w:val="0"/>
          <w:numId w:val="7"/>
        </w:numPr>
        <w:rPr>
          <w:rFonts w:ascii="Arial" w:cs="Arial" w:eastAsia="Arial" w:hAnsi="Arial"/>
          <w:sz w:val="27"/>
          <w:szCs w:val="27"/>
          <w:i w:val="1"/>
          <w:iCs w:val="1"/>
          <w:color w:val="auto"/>
          <w:vertAlign w:val="superscript"/>
        </w:rPr>
      </w:pPr>
      <w:r>
        <w:rPr>
          <w:rFonts w:ascii="Arial" w:cs="Arial" w:eastAsia="Arial" w:hAnsi="Arial"/>
          <w:sz w:val="18"/>
          <w:szCs w:val="18"/>
          <w:color w:val="auto"/>
        </w:rPr>
        <w:t>Equivalent oil reserves are defined as six Mcf of natural gas and 42 gallons of NGLs to one barrel of oil conversion ratio which reflects energy equivalence and not price equivalence. Natural gas prices per Mcf and NGL prices per barrel often differ significantly from the equivalent amount of oil.</w:t>
      </w:r>
    </w:p>
    <w:p>
      <w:pPr>
        <w:spacing w:after="0" w:line="199" w:lineRule="exact"/>
        <w:rPr>
          <w:sz w:val="20"/>
          <w:szCs w:val="20"/>
          <w:color w:val="auto"/>
        </w:rPr>
      </w:pPr>
    </w:p>
    <w:p>
      <w:pPr>
        <w:ind w:left="60" w:right="139"/>
        <w:spacing w:after="0" w:line="282" w:lineRule="auto"/>
        <w:rPr>
          <w:sz w:val="20"/>
          <w:szCs w:val="20"/>
          <w:color w:val="auto"/>
        </w:rPr>
      </w:pPr>
      <w:r>
        <w:rPr>
          <w:rFonts w:ascii="Arial" w:cs="Arial" w:eastAsia="Arial" w:hAnsi="Arial"/>
          <w:sz w:val="18"/>
          <w:szCs w:val="18"/>
          <w:b w:val="1"/>
          <w:bCs w:val="1"/>
          <w:color w:val="auto"/>
        </w:rPr>
        <w:t>Internal Controls Over Reserves Estimation Process and Qualifications of Technical Persons with Oversight for the Company’s Overall Reserve Estimation Process</w:t>
      </w:r>
    </w:p>
    <w:p>
      <w:pPr>
        <w:spacing w:after="0" w:line="166" w:lineRule="exact"/>
        <w:rPr>
          <w:sz w:val="20"/>
          <w:szCs w:val="20"/>
          <w:color w:val="auto"/>
        </w:rPr>
      </w:pPr>
    </w:p>
    <w:p>
      <w:pPr>
        <w:ind w:left="60" w:right="99"/>
        <w:spacing w:after="0" w:line="288" w:lineRule="auto"/>
        <w:rPr>
          <w:sz w:val="20"/>
          <w:szCs w:val="20"/>
          <w:color w:val="auto"/>
        </w:rPr>
      </w:pPr>
      <w:r>
        <w:rPr>
          <w:rFonts w:ascii="Arial" w:cs="Arial" w:eastAsia="Arial" w:hAnsi="Arial"/>
          <w:sz w:val="16"/>
          <w:szCs w:val="16"/>
          <w:color w:val="auto"/>
        </w:rPr>
        <w:t>Our policies regarding internal controls over reserves estimates require such estimates to be prepared by an independent petroleum engineering firm under the supervision of our internal reserve engineering team, which includes our COO. Our internal reserve engineering team has a combined experience of over 80 years in Petroleum Engineering. Our COO, the person responsible for overseeing the preparation of our reserves estimates, has a Bachelor of Science Degree in Petroleum Engineering from Texas A&amp;M University, is a registered Professional Engineer in the State of Texas (No. 86704), has over 40 years of oil and natural gas experience including large independents and financial firm services for projects and acquisitions. Our Board of Directors also has oversight of our reserve estimation process and contains a Reserves Committee with an independent director who is a Registered Professional Engineer in the State of Texas (No. 47279) with experience in energy company reserve evaluations. Such reserve estimates comply with generally accepted petroleum engineering and evaluation principles, definitions, and guidelines as established by the SEC.</w:t>
      </w:r>
    </w:p>
    <w:p>
      <w:pPr>
        <w:spacing w:after="0" w:line="168" w:lineRule="exact"/>
        <w:rPr>
          <w:sz w:val="20"/>
          <w:szCs w:val="20"/>
          <w:color w:val="auto"/>
        </w:rPr>
      </w:pPr>
    </w:p>
    <w:p>
      <w:pPr>
        <w:ind w:left="60" w:right="79"/>
        <w:spacing w:after="0" w:line="290" w:lineRule="auto"/>
        <w:rPr>
          <w:sz w:val="20"/>
          <w:szCs w:val="20"/>
          <w:color w:val="auto"/>
        </w:rPr>
      </w:pPr>
      <w:r>
        <w:rPr>
          <w:rFonts w:ascii="Arial" w:cs="Arial" w:eastAsia="Arial" w:hAnsi="Arial"/>
          <w:sz w:val="16"/>
          <w:szCs w:val="16"/>
          <w:color w:val="auto"/>
        </w:rPr>
        <w:t>The reserves information in this filing is based on estimates prepared by NSAI and D&amp;M. The person responsible for the preparation of the reserve report at NSAI is Matthew D. Pankey, P.E., Petroleum Engineer. Mr. Pankey, a licensed Professional Engineer in the State of Texas (No. 142931), has been practicing consulting petroleum engineering at NSAI since 2019 and has over six years of prior industry experience. The person responsible for the preparation of the reserve report at D&amp;M is Dr. Dilhan Ilk, P.E., Executive Vice President. Dr. Ilk received a Bachelor of Science degree in Petroleum Engineering in 2003 from Istanbul Technical University and a Master’s degree and Doctorate in Petroleum Engineering in 2005 and 2010, respectively, from Texas A&amp;M University, and he has in excess of 13 years of experience in oil and natural gas reservoir studies and evaluations and is a licensed Professional Engineer in the state of Texas (No. 139334).</w:t>
      </w:r>
    </w:p>
    <w:p>
      <w:pPr>
        <w:spacing w:after="0" w:line="165" w:lineRule="exact"/>
        <w:rPr>
          <w:sz w:val="20"/>
          <w:szCs w:val="20"/>
          <w:color w:val="auto"/>
        </w:rPr>
      </w:pPr>
    </w:p>
    <w:p>
      <w:pPr>
        <w:ind w:left="60" w:right="139"/>
        <w:spacing w:after="0" w:line="255" w:lineRule="auto"/>
        <w:rPr>
          <w:sz w:val="20"/>
          <w:szCs w:val="20"/>
          <w:color w:val="auto"/>
        </w:rPr>
      </w:pPr>
      <w:r>
        <w:rPr>
          <w:rFonts w:ascii="Arial" w:cs="Arial" w:eastAsia="Arial" w:hAnsi="Arial"/>
          <w:sz w:val="18"/>
          <w:szCs w:val="18"/>
          <w:color w:val="auto"/>
        </w:rPr>
        <w:t>We provide NSAI and D&amp;M with our property interests, production, current operating costs, current production prices, estimated abandonment costs and other information in order for them to prepare the reserve estimates. This information is reviewed by our senior management team and designated operations personnel to ensure accuracy and completeness of the data prior to submission to the reserve engineers. The scope and results of NSAI’s and D&amp;M’s procedures, as well as their professional qualifications, are summarized in the letters included as Exhibit 99.1 and Exhibit 99.2, respectively, to this Annual Report on Form 10-K.</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Proved Undeveloped Reserves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During the year ended June 30, 2023 our proved undeveloped (“PUD”) reserves changed as follows: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2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jc w:val="right"/>
              <w:ind w:right="820"/>
              <w:spacing w:after="0"/>
              <w:rPr>
                <w:sz w:val="20"/>
                <w:szCs w:val="20"/>
                <w:color w:val="auto"/>
              </w:rPr>
            </w:pPr>
            <w:r>
              <w:rPr>
                <w:rFonts w:ascii="Arial" w:cs="Arial" w:eastAsia="Arial" w:hAnsi="Arial"/>
                <w:sz w:val="16"/>
                <w:szCs w:val="16"/>
                <w:b w:val="1"/>
                <w:bCs w:val="1"/>
                <w:color w:val="auto"/>
              </w:rPr>
              <w:t>Oil</w:t>
            </w:r>
          </w:p>
        </w:tc>
        <w:tc>
          <w:tcPr>
            <w:tcW w:w="15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Natural Gas</w:t>
            </w:r>
          </w:p>
        </w:tc>
        <w:tc>
          <w:tcPr>
            <w:tcW w:w="1540" w:type="dxa"/>
            <w:vAlign w:val="bottom"/>
            <w:gridSpan w:val="2"/>
          </w:tcPr>
          <w:p>
            <w:pPr>
              <w:jc w:val="right"/>
              <w:ind w:right="720"/>
              <w:spacing w:after="0"/>
              <w:rPr>
                <w:sz w:val="20"/>
                <w:szCs w:val="20"/>
                <w:color w:val="auto"/>
              </w:rPr>
            </w:pPr>
            <w:r>
              <w:rPr>
                <w:rFonts w:ascii="Arial" w:cs="Arial" w:eastAsia="Arial" w:hAnsi="Arial"/>
                <w:sz w:val="16"/>
                <w:szCs w:val="16"/>
                <w:b w:val="1"/>
                <w:bCs w:val="1"/>
                <w:color w:val="auto"/>
              </w:rPr>
              <w:t>NGLs</w:t>
            </w: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w w:val="98"/>
              </w:rPr>
              <w:t>Total Reserves</w:t>
            </w:r>
          </w:p>
        </w:tc>
      </w:tr>
      <w:tr>
        <w:trPr>
          <w:trHeight w:val="226"/>
        </w:trPr>
        <w:tc>
          <w:tcPr>
            <w:tcW w:w="2740" w:type="dxa"/>
            <w:vAlign w:val="bottom"/>
            <w:gridSpan w:val="4"/>
          </w:tcPr>
          <w:p>
            <w:pPr>
              <w:ind w:left="260"/>
              <w:spacing w:after="0"/>
              <w:rPr>
                <w:sz w:val="20"/>
                <w:szCs w:val="20"/>
                <w:color w:val="auto"/>
              </w:rPr>
            </w:pPr>
            <w:r>
              <w:rPr>
                <w:rFonts w:ascii="Arial" w:cs="Arial" w:eastAsia="Arial" w:hAnsi="Arial"/>
                <w:sz w:val="16"/>
                <w:szCs w:val="16"/>
                <w:b w:val="1"/>
                <w:bCs w:val="1"/>
                <w:color w:val="auto"/>
              </w:rPr>
              <w:t>Proved undeveloped reserves:</w:t>
            </w:r>
          </w:p>
        </w:tc>
        <w:tc>
          <w:tcPr>
            <w:tcW w:w="156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(MBbls)</w:t>
            </w:r>
          </w:p>
        </w:tc>
        <w:tc>
          <w:tcPr>
            <w:tcW w:w="15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(MMcf)</w:t>
            </w:r>
          </w:p>
        </w:tc>
        <w:tc>
          <w:tcPr>
            <w:tcW w:w="154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(MBbls)</w:t>
            </w:r>
          </w:p>
        </w:tc>
        <w:tc>
          <w:tcPr>
            <w:tcW w:w="1260" w:type="dxa"/>
            <w:vAlign w:val="bottom"/>
          </w:tcPr>
          <w:p>
            <w:pPr>
              <w:jc w:val="right"/>
              <w:ind w:right="179"/>
              <w:spacing w:after="0" w:line="226" w:lineRule="exact"/>
              <w:rPr>
                <w:sz w:val="20"/>
                <w:szCs w:val="20"/>
                <w:color w:val="auto"/>
              </w:rPr>
            </w:pPr>
            <w:r>
              <w:rPr>
                <w:rFonts w:ascii="Arial" w:cs="Arial" w:eastAsia="Arial" w:hAnsi="Arial"/>
                <w:sz w:val="16"/>
                <w:szCs w:val="16"/>
                <w:b w:val="1"/>
                <w:bCs w:val="1"/>
                <w:color w:val="auto"/>
              </w:rPr>
              <w:t>(MBOE)</w:t>
            </w:r>
            <w:r>
              <w:rPr>
                <w:rFonts w:ascii="Arial" w:cs="Arial" w:eastAsia="Arial" w:hAnsi="Arial"/>
                <w:sz w:val="24"/>
                <w:szCs w:val="24"/>
                <w:i w:val="1"/>
                <w:iCs w:val="1"/>
                <w:color w:val="auto"/>
                <w:vertAlign w:val="superscript"/>
              </w:rPr>
              <w:t>(1)</w:t>
            </w:r>
          </w:p>
        </w:tc>
      </w:tr>
      <w:tr>
        <w:trPr>
          <w:trHeight w:val="196"/>
        </w:trPr>
        <w:tc>
          <w:tcPr>
            <w:tcW w:w="260" w:type="dxa"/>
            <w:vAlign w:val="bottom"/>
          </w:tcPr>
          <w:p>
            <w:pPr>
              <w:spacing w:after="0"/>
              <w:rPr>
                <w:sz w:val="17"/>
                <w:szCs w:val="17"/>
                <w:color w:val="auto"/>
              </w:rPr>
            </w:pPr>
          </w:p>
        </w:tc>
        <w:tc>
          <w:tcPr>
            <w:tcW w:w="2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June 30, 2022</w:t>
            </w:r>
          </w:p>
        </w:tc>
        <w:tc>
          <w:tcPr>
            <w:tcW w:w="2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2,608</w:t>
            </w:r>
          </w:p>
        </w:tc>
        <w:tc>
          <w:tcPr>
            <w:tcW w:w="3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2,197</w:t>
            </w:r>
          </w:p>
        </w:tc>
        <w:tc>
          <w:tcPr>
            <w:tcW w:w="3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623</w:t>
            </w:r>
          </w:p>
        </w:tc>
        <w:tc>
          <w:tcPr>
            <w:tcW w:w="3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3,597</w:t>
            </w:r>
          </w:p>
        </w:tc>
      </w:tr>
      <w:tr>
        <w:trPr>
          <w:trHeight w:val="203"/>
        </w:trPr>
        <w:tc>
          <w:tcPr>
            <w:tcW w:w="260" w:type="dxa"/>
            <w:vAlign w:val="bottom"/>
          </w:tcPr>
          <w:p>
            <w:pPr>
              <w:spacing w:after="0"/>
              <w:rPr>
                <w:sz w:val="17"/>
                <w:szCs w:val="17"/>
                <w:color w:val="auto"/>
              </w:rPr>
            </w:pPr>
          </w:p>
        </w:tc>
        <w:tc>
          <w:tcPr>
            <w:tcW w:w="2480" w:type="dxa"/>
            <w:vAlign w:val="bottom"/>
            <w:gridSpan w:val="3"/>
          </w:tcPr>
          <w:p>
            <w:pPr>
              <w:ind w:left="120"/>
              <w:spacing w:after="0"/>
              <w:rPr>
                <w:sz w:val="20"/>
                <w:szCs w:val="20"/>
                <w:color w:val="auto"/>
              </w:rPr>
            </w:pPr>
            <w:r>
              <w:rPr>
                <w:rFonts w:ascii="Arial" w:cs="Arial" w:eastAsia="Arial" w:hAnsi="Arial"/>
                <w:sz w:val="16"/>
                <w:szCs w:val="16"/>
                <w:color w:val="auto"/>
              </w:rPr>
              <w:t>Revisions of previous estimates</w:t>
            </w:r>
          </w:p>
        </w:tc>
        <w:tc>
          <w:tcPr>
            <w:tcW w:w="1560" w:type="dxa"/>
            <w:vAlign w:val="bottom"/>
            <w:gridSpan w:val="2"/>
          </w:tcPr>
          <w:p>
            <w:pPr>
              <w:jc w:val="right"/>
              <w:ind w:right="300"/>
              <w:spacing w:after="0"/>
              <w:rPr>
                <w:sz w:val="20"/>
                <w:szCs w:val="20"/>
                <w:color w:val="auto"/>
              </w:rPr>
            </w:pPr>
            <w:r>
              <w:rPr>
                <w:rFonts w:ascii="Arial" w:cs="Arial" w:eastAsia="Arial" w:hAnsi="Arial"/>
                <w:sz w:val="16"/>
                <w:szCs w:val="16"/>
                <w:color w:val="auto"/>
              </w:rPr>
              <w:t>(19)</w:t>
            </w:r>
          </w:p>
        </w:tc>
        <w:tc>
          <w:tcPr>
            <w:tcW w:w="1260" w:type="dxa"/>
            <w:vAlign w:val="bottom"/>
          </w:tcPr>
          <w:p>
            <w:pPr>
              <w:jc w:val="right"/>
              <w:spacing w:after="0"/>
              <w:rPr>
                <w:sz w:val="20"/>
                <w:szCs w:val="20"/>
                <w:color w:val="auto"/>
              </w:rPr>
            </w:pPr>
            <w:r>
              <w:rPr>
                <w:rFonts w:ascii="Arial" w:cs="Arial" w:eastAsia="Arial" w:hAnsi="Arial"/>
                <w:sz w:val="16"/>
                <w:szCs w:val="16"/>
                <w:color w:val="auto"/>
              </w:rPr>
              <w:t>234</w:t>
            </w:r>
          </w:p>
        </w:tc>
        <w:tc>
          <w:tcPr>
            <w:tcW w:w="300" w:type="dxa"/>
            <w:vAlign w:val="bottom"/>
          </w:tcPr>
          <w:p>
            <w:pPr>
              <w:spacing w:after="0"/>
              <w:rPr>
                <w:sz w:val="17"/>
                <w:szCs w:val="17"/>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6"/>
                <w:szCs w:val="16"/>
                <w:color w:val="auto"/>
              </w:rPr>
              <w:t>(38)</w:t>
            </w:r>
          </w:p>
        </w:tc>
        <w:tc>
          <w:tcPr>
            <w:tcW w:w="126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193"/>
        </w:trPr>
        <w:tc>
          <w:tcPr>
            <w:tcW w:w="260" w:type="dxa"/>
            <w:vAlign w:val="bottom"/>
          </w:tcPr>
          <w:p>
            <w:pPr>
              <w:spacing w:after="0"/>
              <w:rPr>
                <w:sz w:val="16"/>
                <w:szCs w:val="16"/>
                <w:color w:val="auto"/>
              </w:rPr>
            </w:pP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Improved recovery, extensions</w:t>
            </w:r>
          </w:p>
        </w:tc>
        <w:tc>
          <w:tcPr>
            <w:tcW w:w="1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12"/>
        </w:trPr>
        <w:tc>
          <w:tcPr>
            <w:tcW w:w="260" w:type="dxa"/>
            <w:vAlign w:val="bottom"/>
          </w:tcPr>
          <w:p>
            <w:pPr>
              <w:spacing w:after="0"/>
              <w:rPr>
                <w:sz w:val="18"/>
                <w:szCs w:val="18"/>
                <w:color w:val="auto"/>
              </w:rPr>
            </w:pP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and discoveries</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3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r>
      <w:tr>
        <w:trPr>
          <w:trHeight w:val="196"/>
        </w:trPr>
        <w:tc>
          <w:tcPr>
            <w:tcW w:w="260" w:type="dxa"/>
            <w:vAlign w:val="bottom"/>
          </w:tcPr>
          <w:p>
            <w:pPr>
              <w:spacing w:after="0"/>
              <w:rPr>
                <w:sz w:val="17"/>
                <w:szCs w:val="17"/>
                <w:color w:val="auto"/>
              </w:rPr>
            </w:pPr>
          </w:p>
        </w:tc>
        <w:tc>
          <w:tcPr>
            <w:tcW w:w="2480" w:type="dxa"/>
            <w:vAlign w:val="bottom"/>
            <w:gridSpan w:val="3"/>
          </w:tcPr>
          <w:p>
            <w:pPr>
              <w:spacing w:after="0"/>
              <w:rPr>
                <w:sz w:val="20"/>
                <w:szCs w:val="20"/>
                <w:color w:val="auto"/>
              </w:rPr>
            </w:pPr>
            <w:r>
              <w:rPr>
                <w:rFonts w:ascii="Arial" w:cs="Arial" w:eastAsia="Arial" w:hAnsi="Arial"/>
                <w:sz w:val="16"/>
                <w:szCs w:val="16"/>
                <w:color w:val="auto"/>
              </w:rPr>
              <w:t>June 30, 2023</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2,687</w:t>
            </w:r>
          </w:p>
        </w:tc>
        <w:tc>
          <w:tcPr>
            <w:tcW w:w="30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2,431</w:t>
            </w:r>
          </w:p>
        </w:tc>
        <w:tc>
          <w:tcPr>
            <w:tcW w:w="30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605</w:t>
            </w:r>
          </w:p>
        </w:tc>
        <w:tc>
          <w:tcPr>
            <w:tcW w:w="30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3,697</w:t>
            </w:r>
          </w:p>
        </w:tc>
      </w:tr>
      <w:tr>
        <w:trPr>
          <w:trHeight w:val="20"/>
        </w:trPr>
        <w:tc>
          <w:tcPr>
            <w:tcW w:w="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16"/>
        </w:trPr>
        <w:tc>
          <w:tcPr>
            <w:tcW w:w="26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60" w:type="dxa"/>
            <w:vAlign w:val="bottom"/>
          </w:tcPr>
          <w:p>
            <w:pPr>
              <w:spacing w:after="0"/>
              <w:rPr>
                <w:sz w:val="10"/>
                <w:szCs w:val="10"/>
                <w:color w:val="auto"/>
              </w:rPr>
            </w:pPr>
          </w:p>
        </w:tc>
      </w:tr>
    </w:tbl>
    <w:p>
      <w:pPr>
        <w:spacing w:after="0" w:line="94" w:lineRule="exact"/>
        <w:rPr>
          <w:sz w:val="20"/>
          <w:szCs w:val="20"/>
          <w:color w:val="auto"/>
        </w:rPr>
      </w:pPr>
    </w:p>
    <w:p>
      <w:pPr>
        <w:ind w:left="380" w:right="339" w:hanging="330"/>
        <w:spacing w:after="0" w:line="219" w:lineRule="auto"/>
        <w:tabs>
          <w:tab w:leader="none" w:pos="380" w:val="left"/>
        </w:tabs>
        <w:numPr>
          <w:ilvl w:val="0"/>
          <w:numId w:val="8"/>
        </w:numPr>
        <w:rPr>
          <w:rFonts w:ascii="Arial" w:cs="Arial" w:eastAsia="Arial" w:hAnsi="Arial"/>
          <w:sz w:val="27"/>
          <w:szCs w:val="27"/>
          <w:i w:val="1"/>
          <w:iCs w:val="1"/>
          <w:color w:val="auto"/>
          <w:vertAlign w:val="superscript"/>
        </w:rPr>
      </w:pPr>
      <w:r>
        <w:rPr>
          <w:rFonts w:ascii="Arial" w:cs="Arial" w:eastAsia="Arial" w:hAnsi="Arial"/>
          <w:sz w:val="18"/>
          <w:szCs w:val="18"/>
          <w:color w:val="auto"/>
        </w:rPr>
        <w:t>Equivalent oil reserves are defined as six Mcf of natural gas and 42 gallons of NGLs to one barrel of oil conversion ratio which reflects energy equivalence and not price equivalence. Natural gas prices per Mcf and NGL prices per barrel often differ significantly from the equivalent amount of oil.</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7"/>
          <w:szCs w:val="17"/>
          <w:color w:val="auto"/>
        </w:rPr>
        <w:t>Our PUD reserves were 3.7 MMBOE as of June 30, 2023, with related future development costs of approximately</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7"/>
          <w:szCs w:val="17"/>
          <w:color w:val="auto"/>
        </w:rPr>
        <w:t>$71.7 million, which are primarily associated with the Williston Basin properties. The downward revisions were due to</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adjustments of development timing and economic assumptions at the Williston Basin properties. Extensions of 0.1</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MMBOE are associated with two new wells that Denbury, the operator of the Delhi Field, is currently drilling. See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Drilling and Present Activities</w:t>
      </w:r>
      <w:r>
        <w:rPr>
          <w:rFonts w:ascii="Arial" w:cs="Arial" w:eastAsia="Arial" w:hAnsi="Arial"/>
          <w:sz w:val="16"/>
          <w:szCs w:val="16"/>
          <w:color w:val="auto"/>
        </w:rPr>
        <w:t>” below for a further discussion of our expected development of the PUDs for the Williston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Basin properties.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Drilling and Present Activities</w:t>
      </w:r>
    </w:p>
    <w:p>
      <w:pPr>
        <w:spacing w:after="0" w:line="229" w:lineRule="exact"/>
        <w:rPr>
          <w:sz w:val="20"/>
          <w:szCs w:val="20"/>
          <w:color w:val="auto"/>
        </w:rPr>
      </w:pPr>
    </w:p>
    <w:p>
      <w:pPr>
        <w:ind w:left="60" w:right="259"/>
        <w:spacing w:after="0" w:line="296" w:lineRule="auto"/>
        <w:rPr>
          <w:sz w:val="20"/>
          <w:szCs w:val="20"/>
          <w:color w:val="auto"/>
        </w:rPr>
      </w:pPr>
      <w:r>
        <w:rPr>
          <w:rFonts w:ascii="Arial" w:cs="Arial" w:eastAsia="Arial" w:hAnsi="Arial"/>
          <w:sz w:val="16"/>
          <w:szCs w:val="16"/>
          <w:color w:val="auto"/>
        </w:rPr>
        <w:t>Currently, none of our oil and natural gas properties are operated by us. We therefore rely on information from our operators regarding near-term drilling programs. As certain of our properties are considered fully developed, there are no plans to drill new wells in fiscal year 2024 in the Jonah Field, the Barnett Shale, and the Hamilton Dome Field. At this time, operators of our properties at Williston Basin, Hamilton Dome Field and Delhi Field are periodically running workover rigs focusing on projects to return wells to production that have experienced mechanical issues.</w:t>
      </w:r>
    </w:p>
    <w:p>
      <w:pPr>
        <w:spacing w:after="0" w:line="161" w:lineRule="exact"/>
        <w:rPr>
          <w:sz w:val="20"/>
          <w:szCs w:val="20"/>
          <w:color w:val="auto"/>
        </w:rPr>
      </w:pPr>
    </w:p>
    <w:p>
      <w:pPr>
        <w:ind w:left="60" w:right="59"/>
        <w:spacing w:after="0" w:line="272" w:lineRule="auto"/>
        <w:rPr>
          <w:sz w:val="20"/>
          <w:szCs w:val="20"/>
          <w:color w:val="auto"/>
        </w:rPr>
      </w:pPr>
      <w:r>
        <w:rPr>
          <w:rFonts w:ascii="Arial" w:cs="Arial" w:eastAsia="Arial" w:hAnsi="Arial"/>
          <w:sz w:val="17"/>
          <w:szCs w:val="17"/>
          <w:color w:val="auto"/>
        </w:rPr>
        <w:t>At Delhi Field, the third-party operator, Denbury, is currently drilling two new down dip wells in the field. Completion and first production of these wells are expected in the first quarter of fiscal year 2024. Denbury is also evaluating the technical and economic feasibility of development of Test Site V. Should they choose to propose proceeding with this project, we anticipate being an active participant based on our current analysis of the project. As of June 30, 2023, Test Site V is not included in our proved reserves due to timing. For fiscal year 2024, at the Williston Basin, we are evaluating drilling two sidetrack locations targeting the Birdbear formation with our operator, Foundation. Efforts to continue evaluating other sidetrack locations and undeveloped drilling locations at the Williston Basin is ongoing.</w:t>
      </w:r>
    </w:p>
    <w:p>
      <w:pPr>
        <w:spacing w:after="0" w:line="177" w:lineRule="exact"/>
        <w:rPr>
          <w:sz w:val="20"/>
          <w:szCs w:val="20"/>
          <w:color w:val="auto"/>
        </w:rPr>
      </w:pPr>
    </w:p>
    <w:p>
      <w:pPr>
        <w:ind w:left="60" w:right="459"/>
        <w:spacing w:after="0" w:line="277" w:lineRule="auto"/>
        <w:rPr>
          <w:sz w:val="20"/>
          <w:szCs w:val="20"/>
          <w:color w:val="auto"/>
        </w:rPr>
      </w:pPr>
      <w:r>
        <w:rPr>
          <w:rFonts w:ascii="Arial" w:cs="Arial" w:eastAsia="Arial" w:hAnsi="Arial"/>
          <w:sz w:val="18"/>
          <w:szCs w:val="18"/>
          <w:color w:val="auto"/>
        </w:rPr>
        <w:t xml:space="preserve">For further discussion, see “Capital Expenditures” within Item 7.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Conditions and Results of Operations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Production volumes, average sales price and average production costs</w:t>
      </w:r>
    </w:p>
    <w:p>
      <w:pPr>
        <w:spacing w:after="0" w:line="121" w:lineRule="exact"/>
        <w:rPr>
          <w:sz w:val="20"/>
          <w:szCs w:val="20"/>
          <w:color w:val="auto"/>
        </w:rPr>
      </w:pPr>
    </w:p>
    <w:p>
      <w:pPr>
        <w:ind w:left="60" w:right="159"/>
        <w:spacing w:after="0" w:line="255" w:lineRule="auto"/>
        <w:rPr>
          <w:sz w:val="20"/>
          <w:szCs w:val="20"/>
          <w:color w:val="auto"/>
        </w:rPr>
      </w:pPr>
      <w:r>
        <w:rPr>
          <w:rFonts w:ascii="Arial" w:cs="Arial" w:eastAsia="Arial" w:hAnsi="Arial"/>
          <w:sz w:val="18"/>
          <w:szCs w:val="18"/>
          <w:color w:val="auto"/>
        </w:rPr>
        <w:t>The following table summarizes our crude oil, natural gas, and natural gas liquids production volumes, average sales price per unit, average daily production on an equivalent basis, production costs, and production costs per unit for the periods indicated:</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Years Ended June 30,</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2023</w:t>
            </w:r>
          </w:p>
        </w:tc>
        <w:tc>
          <w:tcPr>
            <w:tcW w:w="480" w:type="dxa"/>
            <w:vAlign w:val="bottom"/>
          </w:tcPr>
          <w:p>
            <w:pPr>
              <w:spacing w:after="0"/>
              <w:rPr>
                <w:sz w:val="12"/>
                <w:szCs w:val="12"/>
                <w:color w:val="auto"/>
              </w:rPr>
            </w:pPr>
          </w:p>
        </w:tc>
        <w:tc>
          <w:tcPr>
            <w:tcW w:w="96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Volume</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w w:val="93"/>
              </w:rPr>
              <w:t>Price</w:t>
            </w:r>
          </w:p>
        </w:tc>
        <w:tc>
          <w:tcPr>
            <w:tcW w:w="140" w:type="dxa"/>
            <w:vAlign w:val="bottom"/>
          </w:tcPr>
          <w:p>
            <w:pPr>
              <w:spacing w:after="0"/>
              <w:rPr>
                <w:sz w:val="12"/>
                <w:szCs w:val="12"/>
                <w:color w:val="auto"/>
              </w:rPr>
            </w:pPr>
          </w:p>
        </w:tc>
        <w:tc>
          <w:tcPr>
            <w:tcW w:w="720" w:type="dxa"/>
            <w:vAlign w:val="bottom"/>
            <w:tcBorders>
              <w:top w:val="single" w:sz="8" w:color="auto"/>
            </w:tcBorders>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0"/>
              </w:rPr>
              <w:t>Volume</w:t>
            </w: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w w:val="93"/>
              </w:rPr>
              <w:t>Price</w:t>
            </w:r>
          </w:p>
        </w:tc>
        <w:tc>
          <w:tcPr>
            <w:tcW w:w="140" w:type="dxa"/>
            <w:vAlign w:val="bottom"/>
          </w:tcPr>
          <w:p>
            <w:pPr>
              <w:spacing w:after="0"/>
              <w:rPr>
                <w:sz w:val="12"/>
                <w:szCs w:val="12"/>
                <w:color w:val="auto"/>
              </w:rPr>
            </w:pPr>
          </w:p>
        </w:tc>
        <w:tc>
          <w:tcPr>
            <w:tcW w:w="720" w:type="dxa"/>
            <w:vAlign w:val="bottom"/>
            <w:tcBorders>
              <w:top w:val="single" w:sz="8" w:color="auto"/>
            </w:tcBorders>
            <w:gridSpan w:val="3"/>
          </w:tcPr>
          <w:p>
            <w:pPr>
              <w:jc w:val="center"/>
              <w:ind w:right="140"/>
              <w:spacing w:after="0" w:line="142" w:lineRule="exact"/>
              <w:rPr>
                <w:sz w:val="20"/>
                <w:szCs w:val="20"/>
                <w:color w:val="auto"/>
              </w:rPr>
            </w:pPr>
            <w:r>
              <w:rPr>
                <w:rFonts w:ascii="Arial" w:cs="Arial" w:eastAsia="Arial" w:hAnsi="Arial"/>
                <w:sz w:val="14"/>
                <w:szCs w:val="14"/>
                <w:b w:val="1"/>
                <w:bCs w:val="1"/>
                <w:color w:val="auto"/>
                <w:w w:val="90"/>
              </w:rPr>
              <w:t>Volume</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320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Production:</w:t>
            </w: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32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Crude oil (MBBL)</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32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Jonah Field</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84.58</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$ 112.50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320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Williston Basin</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144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79.38</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3"/>
              </w:rPr>
              <w:t>101.25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32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Barnett Shale</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76.12</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82.56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52.50</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320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Hamilton Dome Field</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149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65.18</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76.03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143</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42.23</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32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Delhi Field</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81.57</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86.57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49.43</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320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Other</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88.03</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58.57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3200" w:type="dxa"/>
            <w:vAlign w:val="bottom"/>
            <w:tcBorders>
              <w:top w:val="single" w:sz="8" w:color="CCEEFF"/>
              <w:bottom w:val="single" w:sz="8" w:color="CCEEFF"/>
            </w:tcBorders>
            <w:gridSpan w:val="3"/>
            <w:shd w:val="clear" w:color="auto" w:fill="CCEEFF"/>
          </w:tcPr>
          <w:p>
            <w:pPr>
              <w:ind w:left="320"/>
              <w:spacing w:after="0" w:line="142" w:lineRule="exact"/>
              <w:rPr>
                <w:sz w:val="20"/>
                <w:szCs w:val="20"/>
                <w:color w:val="auto"/>
              </w:rPr>
            </w:pPr>
            <w:r>
              <w:rPr>
                <w:rFonts w:ascii="Arial" w:cs="Arial" w:eastAsia="Arial" w:hAnsi="Arial"/>
                <w:sz w:val="14"/>
                <w:szCs w:val="14"/>
                <w:color w:val="auto"/>
              </w:rPr>
              <w:t>Total</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659</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77.46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619</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85.11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555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47.59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200" w:type="dxa"/>
            <w:vAlign w:val="bottom"/>
            <w:gridSpan w:val="3"/>
            <w:vMerge w:val="restart"/>
          </w:tcPr>
          <w:p>
            <w:pPr>
              <w:spacing w:after="0"/>
              <w:rPr>
                <w:sz w:val="20"/>
                <w:szCs w:val="20"/>
                <w:color w:val="auto"/>
              </w:rPr>
            </w:pPr>
            <w:r>
              <w:rPr>
                <w:rFonts w:ascii="Arial" w:cs="Arial" w:eastAsia="Arial" w:hAnsi="Arial"/>
                <w:sz w:val="14"/>
                <w:szCs w:val="14"/>
                <w:color w:val="auto"/>
              </w:rPr>
              <w:t>Natural gas (MMCF)</w:t>
            </w: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80" w:type="dxa"/>
            <w:vAlign w:val="bottom"/>
          </w:tcPr>
          <w:p>
            <w:pPr>
              <w:spacing w:after="0"/>
              <w:rPr>
                <w:sz w:val="11"/>
                <w:szCs w:val="11"/>
                <w:color w:val="auto"/>
              </w:rPr>
            </w:pPr>
          </w:p>
        </w:tc>
        <w:tc>
          <w:tcPr>
            <w:tcW w:w="3200" w:type="dxa"/>
            <w:vAlign w:val="bottom"/>
            <w:gridSpan w:val="3"/>
            <w:vMerge w:val="continue"/>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32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Jonah Field</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3,675</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10.63</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320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Williston Basin</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4.48</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6.30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32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Barnett Shale</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5,337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4.55</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6,087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963</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320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Other</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4.66</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1.21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3200" w:type="dxa"/>
            <w:vAlign w:val="bottom"/>
            <w:tcBorders>
              <w:top w:val="single" w:sz="8" w:color="CCEEFF"/>
              <w:bottom w:val="single" w:sz="8" w:color="CCEEFF"/>
            </w:tcBorders>
            <w:gridSpan w:val="3"/>
            <w:shd w:val="clear" w:color="auto" w:fill="CCEEFF"/>
          </w:tcPr>
          <w:p>
            <w:pPr>
              <w:ind w:left="320"/>
              <w:spacing w:after="0" w:line="142" w:lineRule="exact"/>
              <w:rPr>
                <w:sz w:val="20"/>
                <w:szCs w:val="20"/>
                <w:color w:val="auto"/>
              </w:rPr>
            </w:pPr>
            <w:r>
              <w:rPr>
                <w:rFonts w:ascii="Arial" w:cs="Arial" w:eastAsia="Arial" w:hAnsi="Arial"/>
                <w:sz w:val="14"/>
                <w:szCs w:val="14"/>
                <w:color w:val="auto"/>
              </w:rPr>
              <w:t>Total</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9,109</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7,141</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5.49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963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200" w:type="dxa"/>
            <w:vAlign w:val="bottom"/>
            <w:gridSpan w:val="3"/>
            <w:vMerge w:val="restart"/>
          </w:tcPr>
          <w:p>
            <w:pPr>
              <w:spacing w:after="0"/>
              <w:rPr>
                <w:sz w:val="20"/>
                <w:szCs w:val="20"/>
                <w:color w:val="auto"/>
              </w:rPr>
            </w:pPr>
            <w:r>
              <w:rPr>
                <w:rFonts w:ascii="Arial" w:cs="Arial" w:eastAsia="Arial" w:hAnsi="Arial"/>
                <w:sz w:val="14"/>
                <w:szCs w:val="14"/>
                <w:color w:val="auto"/>
              </w:rPr>
              <w:t>Natural gas liquids (MBBL)</w:t>
            </w: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80" w:type="dxa"/>
            <w:vAlign w:val="bottom"/>
          </w:tcPr>
          <w:p>
            <w:pPr>
              <w:spacing w:after="0"/>
              <w:rPr>
                <w:sz w:val="11"/>
                <w:szCs w:val="11"/>
                <w:color w:val="auto"/>
              </w:rPr>
            </w:pPr>
          </w:p>
        </w:tc>
        <w:tc>
          <w:tcPr>
            <w:tcW w:w="3200" w:type="dxa"/>
            <w:vAlign w:val="bottom"/>
            <w:gridSpan w:val="3"/>
            <w:vMerge w:val="continue"/>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32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Jonah Field</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34.76</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52.92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320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Williston Basin</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27.23</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38.50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32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Barnett Shale</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32.54</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46.91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24.37</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320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Delhi Field</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34.95</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48.02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93</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18.95</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32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Other</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26.15</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780" w:type="dxa"/>
            <w:vAlign w:val="bottom"/>
          </w:tcPr>
          <w:p>
            <w:pPr>
              <w:spacing w:after="0"/>
              <w:rPr>
                <w:sz w:val="15"/>
                <w:szCs w:val="15"/>
                <w:color w:val="auto"/>
              </w:rPr>
            </w:pPr>
          </w:p>
        </w:tc>
        <w:tc>
          <w:tcPr>
            <w:tcW w:w="3200" w:type="dxa"/>
            <w:vAlign w:val="bottom"/>
            <w:tcBorders>
              <w:bottom w:val="single" w:sz="8" w:color="CCEEFF"/>
            </w:tcBorders>
            <w:gridSpan w:val="3"/>
          </w:tcPr>
          <w:p>
            <w:pPr>
              <w:ind w:left="320"/>
              <w:spacing w:after="0" w:line="142" w:lineRule="exact"/>
              <w:rPr>
                <w:sz w:val="20"/>
                <w:szCs w:val="20"/>
                <w:color w:val="auto"/>
              </w:rPr>
            </w:pPr>
            <w:r>
              <w:rPr>
                <w:rFonts w:ascii="Arial" w:cs="Arial" w:eastAsia="Arial" w:hAnsi="Arial"/>
                <w:sz w:val="14"/>
                <w:szCs w:val="14"/>
                <w:color w:val="auto"/>
              </w:rPr>
              <w:t>Total</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416</w:t>
            </w:r>
          </w:p>
        </w:tc>
        <w:tc>
          <w:tcPr>
            <w:tcW w:w="1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32.86</w:t>
            </w:r>
          </w:p>
        </w:tc>
        <w:tc>
          <w:tcPr>
            <w:tcW w:w="140" w:type="dxa"/>
            <w:vAlign w:val="bottom"/>
            <w:tcBorders>
              <w:bottom w:val="single" w:sz="8" w:color="CCEEFF"/>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364</w:t>
            </w:r>
          </w:p>
        </w:tc>
        <w:tc>
          <w:tcPr>
            <w:tcW w:w="1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46.89</w:t>
            </w:r>
          </w:p>
        </w:tc>
        <w:tc>
          <w:tcPr>
            <w:tcW w:w="1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171</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21.42</w:t>
            </w:r>
          </w:p>
        </w:tc>
        <w:tc>
          <w:tcPr>
            <w:tcW w:w="0" w:type="dxa"/>
            <w:vAlign w:val="bottom"/>
          </w:tcPr>
          <w:p>
            <w:pPr>
              <w:spacing w:after="0"/>
              <w:rPr>
                <w:sz w:val="1"/>
                <w:szCs w:val="1"/>
                <w:color w:val="auto"/>
              </w:rPr>
            </w:pPr>
          </w:p>
        </w:tc>
      </w:tr>
      <w:tr>
        <w:trPr>
          <w:trHeight w:val="129"/>
        </w:trPr>
        <w:tc>
          <w:tcPr>
            <w:tcW w:w="780" w:type="dxa"/>
            <w:vAlign w:val="bottom"/>
            <w:vMerge w:val="restart"/>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80" w:type="dxa"/>
            <w:vAlign w:val="bottom"/>
            <w:vMerge w:val="continue"/>
          </w:tcPr>
          <w:p>
            <w:pPr>
              <w:spacing w:after="0"/>
              <w:rPr>
                <w:sz w:val="12"/>
                <w:szCs w:val="12"/>
                <w:color w:val="auto"/>
              </w:rPr>
            </w:pPr>
          </w:p>
        </w:tc>
        <w:tc>
          <w:tcPr>
            <w:tcW w:w="3200" w:type="dxa"/>
            <w:vAlign w:val="bottom"/>
            <w:gridSpan w:val="3"/>
          </w:tcPr>
          <w:p>
            <w:pPr>
              <w:spacing w:after="0" w:line="149" w:lineRule="exact"/>
              <w:rPr>
                <w:sz w:val="20"/>
                <w:szCs w:val="20"/>
                <w:color w:val="auto"/>
              </w:rPr>
            </w:pPr>
            <w:r>
              <w:rPr>
                <w:rFonts w:ascii="Arial" w:cs="Arial" w:eastAsia="Arial" w:hAnsi="Arial"/>
                <w:sz w:val="12"/>
                <w:szCs w:val="12"/>
                <w:color w:val="auto"/>
              </w:rPr>
              <w:t xml:space="preserve">Equivalent (MBOE) </w:t>
            </w:r>
            <w:r>
              <w:rPr>
                <w:rFonts w:ascii="Arial" w:cs="Arial" w:eastAsia="Arial" w:hAnsi="Arial"/>
                <w:sz w:val="17"/>
                <w:szCs w:val="17"/>
                <w:i w:val="1"/>
                <w:iCs w:val="1"/>
                <w:color w:val="auto"/>
                <w:vertAlign w:val="superscript"/>
              </w:rPr>
              <w:t>(1)</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32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2"/>
                <w:szCs w:val="12"/>
                <w:color w:val="auto"/>
              </w:rPr>
              <w:t>Jonah Field</w:t>
            </w:r>
            <w:r>
              <w:rPr>
                <w:rFonts w:ascii="Arial" w:cs="Arial" w:eastAsia="Arial" w:hAnsi="Arial"/>
                <w:sz w:val="17"/>
                <w:szCs w:val="17"/>
                <w:color w:val="auto"/>
                <w:vertAlign w:val="superscript"/>
              </w:rPr>
              <w:t>(2)</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685</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63.37</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50.57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3200" w:type="dxa"/>
            <w:vAlign w:val="bottom"/>
            <w:gridSpan w:val="3"/>
          </w:tcPr>
          <w:p>
            <w:pPr>
              <w:ind w:left="220"/>
              <w:spacing w:after="0" w:line="149" w:lineRule="exact"/>
              <w:rPr>
                <w:sz w:val="20"/>
                <w:szCs w:val="20"/>
                <w:color w:val="auto"/>
              </w:rPr>
            </w:pPr>
            <w:r>
              <w:rPr>
                <w:rFonts w:ascii="Arial" w:cs="Arial" w:eastAsia="Arial" w:hAnsi="Arial"/>
                <w:sz w:val="12"/>
                <w:szCs w:val="12"/>
                <w:color w:val="auto"/>
              </w:rPr>
              <w:t>Williston Basin</w:t>
            </w:r>
            <w:r>
              <w:rPr>
                <w:rFonts w:ascii="Arial" w:cs="Arial" w:eastAsia="Arial" w:hAnsi="Arial"/>
                <w:sz w:val="17"/>
                <w:szCs w:val="17"/>
                <w:color w:val="auto"/>
                <w:vertAlign w:val="superscript"/>
              </w:rPr>
              <w:t>(2)</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184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68.12</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88.93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32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Barnett Shale</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28.89</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1,280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34.27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19.23</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320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Hamilton Dome Field</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149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65.18</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76.03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143</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42.23</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32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Delhi Field</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72.13</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79.32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503</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43.80</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320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Other</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73.71</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52.08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3200" w:type="dxa"/>
            <w:vAlign w:val="bottom"/>
            <w:tcBorders>
              <w:top w:val="single" w:sz="8" w:color="CCEEFF"/>
              <w:bottom w:val="single" w:sz="8" w:color="CCEEFF"/>
            </w:tcBorders>
            <w:gridSpan w:val="3"/>
            <w:shd w:val="clear" w:color="auto" w:fill="CCEEFF"/>
          </w:tcPr>
          <w:p>
            <w:pPr>
              <w:ind w:left="320"/>
              <w:spacing w:after="0" w:line="142" w:lineRule="exact"/>
              <w:rPr>
                <w:sz w:val="20"/>
                <w:szCs w:val="20"/>
                <w:color w:val="auto"/>
              </w:rPr>
            </w:pPr>
            <w:r>
              <w:rPr>
                <w:rFonts w:ascii="Arial" w:cs="Arial" w:eastAsia="Arial" w:hAnsi="Arial"/>
                <w:sz w:val="14"/>
                <w:szCs w:val="14"/>
                <w:color w:val="auto"/>
              </w:rPr>
              <w:t>Total</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2,593</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49.56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2,173</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50.13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887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36.87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80" w:type="dxa"/>
            <w:vAlign w:val="bottom"/>
            <w:vMerge w:val="restart"/>
          </w:tcPr>
          <w:p>
            <w:pPr>
              <w:spacing w:after="0"/>
              <w:rPr>
                <w:sz w:val="11"/>
                <w:szCs w:val="11"/>
                <w:color w:val="auto"/>
              </w:rPr>
            </w:pPr>
          </w:p>
        </w:tc>
        <w:tc>
          <w:tcPr>
            <w:tcW w:w="14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80" w:type="dxa"/>
            <w:vAlign w:val="bottom"/>
            <w:vMerge w:val="continue"/>
          </w:tcPr>
          <w:p>
            <w:pPr>
              <w:spacing w:after="0"/>
              <w:rPr>
                <w:sz w:val="12"/>
                <w:szCs w:val="12"/>
                <w:color w:val="auto"/>
              </w:rPr>
            </w:pPr>
          </w:p>
        </w:tc>
        <w:tc>
          <w:tcPr>
            <w:tcW w:w="3200" w:type="dxa"/>
            <w:vAlign w:val="bottom"/>
            <w:gridSpan w:val="3"/>
            <w:shd w:val="clear" w:color="auto" w:fill="CCEEFF"/>
          </w:tcPr>
          <w:p>
            <w:pPr>
              <w:spacing w:after="0" w:line="149" w:lineRule="exact"/>
              <w:rPr>
                <w:sz w:val="20"/>
                <w:szCs w:val="20"/>
                <w:color w:val="auto"/>
              </w:rPr>
            </w:pPr>
            <w:r>
              <w:rPr>
                <w:rFonts w:ascii="Arial" w:cs="Arial" w:eastAsia="Arial" w:hAnsi="Arial"/>
                <w:sz w:val="12"/>
                <w:szCs w:val="12"/>
                <w:b w:val="1"/>
                <w:bCs w:val="1"/>
                <w:color w:val="auto"/>
              </w:rPr>
              <w:t xml:space="preserve">Average daily production (BOEPD) </w:t>
            </w:r>
            <w:r>
              <w:rPr>
                <w:rFonts w:ascii="Arial" w:cs="Arial" w:eastAsia="Arial" w:hAnsi="Arial"/>
                <w:sz w:val="17"/>
                <w:szCs w:val="17"/>
                <w:b w:val="1"/>
                <w:bCs w:val="1"/>
                <w:i w:val="1"/>
                <w:iCs w:val="1"/>
                <w:color w:val="auto"/>
                <w:vertAlign w:val="superscript"/>
              </w:rPr>
              <w:t>(1)</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3200" w:type="dxa"/>
            <w:vAlign w:val="bottom"/>
            <w:gridSpan w:val="3"/>
          </w:tcPr>
          <w:p>
            <w:pPr>
              <w:ind w:left="220"/>
              <w:spacing w:after="0" w:line="149" w:lineRule="exact"/>
              <w:rPr>
                <w:sz w:val="20"/>
                <w:szCs w:val="20"/>
                <w:color w:val="auto"/>
              </w:rPr>
            </w:pPr>
            <w:r>
              <w:rPr>
                <w:rFonts w:ascii="Arial" w:cs="Arial" w:eastAsia="Arial" w:hAnsi="Arial"/>
                <w:sz w:val="12"/>
                <w:szCs w:val="12"/>
                <w:color w:val="auto"/>
              </w:rPr>
              <w:t>Jonah Field</w:t>
            </w:r>
            <w:r>
              <w:rPr>
                <w:rFonts w:ascii="Arial" w:cs="Arial" w:eastAsia="Arial" w:hAnsi="Arial"/>
                <w:sz w:val="17"/>
                <w:szCs w:val="17"/>
                <w:color w:val="auto"/>
                <w:vertAlign w:val="superscript"/>
              </w:rPr>
              <w:t>(2)</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1,877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32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2"/>
                <w:szCs w:val="12"/>
                <w:color w:val="auto"/>
              </w:rPr>
              <w:t>Williston Basin</w:t>
            </w:r>
            <w:r>
              <w:rPr>
                <w:rFonts w:ascii="Arial" w:cs="Arial" w:eastAsia="Arial" w:hAnsi="Arial"/>
                <w:sz w:val="17"/>
                <w:szCs w:val="17"/>
                <w:color w:val="auto"/>
                <w:vertAlign w:val="superscript"/>
              </w:rPr>
              <w:t>(2)</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320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Barnett Shale</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3,214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3,507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660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32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Hamilton Dome Field</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320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Delhi Field</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1,096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1,378</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32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Other</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80" w:type="dxa"/>
            <w:vAlign w:val="bottom"/>
          </w:tcPr>
          <w:p>
            <w:pPr>
              <w:spacing w:after="0"/>
              <w:rPr>
                <w:sz w:val="15"/>
                <w:szCs w:val="15"/>
                <w:color w:val="auto"/>
              </w:rPr>
            </w:pPr>
          </w:p>
        </w:tc>
        <w:tc>
          <w:tcPr>
            <w:tcW w:w="3200" w:type="dxa"/>
            <w:vAlign w:val="bottom"/>
            <w:tcBorders>
              <w:bottom w:val="single" w:sz="8" w:color="CCEEFF"/>
            </w:tcBorders>
            <w:gridSpan w:val="3"/>
          </w:tcPr>
          <w:p>
            <w:pPr>
              <w:ind w:left="320"/>
              <w:spacing w:after="0" w:line="142" w:lineRule="exact"/>
              <w:rPr>
                <w:sz w:val="20"/>
                <w:szCs w:val="20"/>
                <w:color w:val="auto"/>
              </w:rPr>
            </w:pPr>
            <w:r>
              <w:rPr>
                <w:rFonts w:ascii="Arial" w:cs="Arial" w:eastAsia="Arial" w:hAnsi="Arial"/>
                <w:sz w:val="14"/>
                <w:szCs w:val="14"/>
                <w:color w:val="auto"/>
              </w:rPr>
              <w:t>Total</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7,104</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5,953</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2,430</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780" w:type="dxa"/>
            <w:vAlign w:val="bottom"/>
            <w:vMerge w:val="restart"/>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80" w:type="dxa"/>
            <w:vAlign w:val="bottom"/>
            <w:vMerge w:val="continue"/>
          </w:tcPr>
          <w:p>
            <w:pPr>
              <w:spacing w:after="0"/>
              <w:rPr>
                <w:sz w:val="12"/>
                <w:szCs w:val="12"/>
                <w:color w:val="auto"/>
              </w:rPr>
            </w:pPr>
          </w:p>
        </w:tc>
        <w:tc>
          <w:tcPr>
            <w:tcW w:w="3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Production costs (in thousands, except per BOE)</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304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Lease operating costs</w:t>
            </w:r>
          </w:p>
        </w:tc>
        <w:tc>
          <w:tcPr>
            <w:tcW w:w="1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1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per BOE</w:t>
            </w:r>
          </w:p>
        </w:tc>
        <w:tc>
          <w:tcPr>
            <w:tcW w:w="1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gridSpan w:val="2"/>
            <w:shd w:val="clear" w:color="auto" w:fill="CCEEFF"/>
          </w:tcPr>
          <w:p>
            <w:pPr>
              <w:jc w:val="center"/>
              <w:ind w:right="140"/>
              <w:spacing w:after="0" w:line="142" w:lineRule="exact"/>
              <w:rPr>
                <w:sz w:val="20"/>
                <w:szCs w:val="20"/>
                <w:color w:val="auto"/>
              </w:rPr>
            </w:pPr>
            <w:r>
              <w:rPr>
                <w:rFonts w:ascii="Arial" w:cs="Arial" w:eastAsia="Arial" w:hAnsi="Arial"/>
                <w:sz w:val="14"/>
                <w:szCs w:val="14"/>
                <w:b w:val="1"/>
                <w:bCs w:val="1"/>
                <w:color w:val="auto"/>
                <w:w w:val="94"/>
              </w:rPr>
              <w:t>Amount</w:t>
            </w:r>
          </w:p>
        </w:tc>
        <w:tc>
          <w:tcPr>
            <w:tcW w:w="720" w:type="dxa"/>
            <w:vAlign w:val="bottom"/>
            <w:tcBorders>
              <w:top w:val="single" w:sz="8" w:color="CCEEFF"/>
            </w:tcBorders>
            <w:gridSpan w:val="3"/>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per BOE</w:t>
            </w:r>
          </w:p>
        </w:tc>
        <w:tc>
          <w:tcPr>
            <w:tcW w:w="720" w:type="dxa"/>
            <w:vAlign w:val="bottom"/>
            <w:tcBorders>
              <w:top w:val="single" w:sz="8" w:color="CCEEFF"/>
            </w:tcBorders>
            <w:gridSpan w:val="3"/>
            <w:shd w:val="clear" w:color="auto" w:fill="CCEEFF"/>
          </w:tcPr>
          <w:p>
            <w:pPr>
              <w:jc w:val="center"/>
              <w:ind w:right="140"/>
              <w:spacing w:after="0" w:line="142" w:lineRule="exact"/>
              <w:rPr>
                <w:sz w:val="20"/>
                <w:szCs w:val="20"/>
                <w:color w:val="auto"/>
              </w:rPr>
            </w:pPr>
            <w:r>
              <w:rPr>
                <w:rFonts w:ascii="Arial" w:cs="Arial" w:eastAsia="Arial" w:hAnsi="Arial"/>
                <w:sz w:val="14"/>
                <w:szCs w:val="14"/>
                <w:b w:val="1"/>
                <w:bCs w:val="1"/>
                <w:color w:val="auto"/>
                <w:w w:val="94"/>
              </w:rPr>
              <w:t>Amount</w:t>
            </w:r>
          </w:p>
        </w:tc>
        <w:tc>
          <w:tcPr>
            <w:tcW w:w="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2"/>
              </w:rPr>
              <w:t>per BOE</w:t>
            </w: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3200" w:type="dxa"/>
            <w:vAlign w:val="bottom"/>
            <w:gridSpan w:val="3"/>
          </w:tcPr>
          <w:p>
            <w:pPr>
              <w:ind w:left="220"/>
              <w:spacing w:after="0" w:line="142" w:lineRule="exact"/>
              <w:rPr>
                <w:sz w:val="20"/>
                <w:szCs w:val="20"/>
                <w:color w:val="auto"/>
              </w:rPr>
            </w:pPr>
            <w:r>
              <w:rPr>
                <w:rFonts w:ascii="Arial" w:cs="Arial" w:eastAsia="Arial" w:hAnsi="Arial"/>
                <w:sz w:val="14"/>
                <w:szCs w:val="14"/>
                <w:color w:val="auto"/>
              </w:rPr>
              <w:t>Jonah Field</w:t>
            </w: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$ 12,350</w:t>
            </w:r>
          </w:p>
        </w:tc>
        <w:tc>
          <w:tcPr>
            <w:tcW w:w="16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18.03</w:t>
            </w:r>
          </w:p>
        </w:tc>
        <w:tc>
          <w:tcPr>
            <w:tcW w:w="14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  2,990</w:t>
            </w:r>
          </w:p>
        </w:tc>
        <w:tc>
          <w:tcPr>
            <w:tcW w:w="16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15.82</w:t>
            </w:r>
          </w:p>
        </w:tc>
        <w:tc>
          <w:tcPr>
            <w:tcW w:w="14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32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Williston Basin</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5,581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30.42</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2,419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27.49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320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Barnett Shale</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20,756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17.70</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22,825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17.83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3,028</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12.56</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32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Hamilton Dome Field</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5,574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37.45</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5,480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36.53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4,080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28.53</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320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Delhi Field</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15,275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38.22</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14,933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33.86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9,463</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18.81</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32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Other</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3.35</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3200" w:type="dxa"/>
            <w:vAlign w:val="bottom"/>
            <w:gridSpan w:val="3"/>
          </w:tcPr>
          <w:p>
            <w:pPr>
              <w:ind w:left="320"/>
              <w:spacing w:after="0" w:line="142" w:lineRule="exact"/>
              <w:rPr>
                <w:sz w:val="20"/>
                <w:szCs w:val="20"/>
                <w:color w:val="auto"/>
              </w:rPr>
            </w:pPr>
            <w:r>
              <w:rPr>
                <w:rFonts w:ascii="Arial" w:cs="Arial" w:eastAsia="Arial" w:hAnsi="Arial"/>
                <w:sz w:val="14"/>
                <w:szCs w:val="14"/>
                <w:color w:val="auto"/>
              </w:rPr>
              <w:t>Total</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$ 59,545</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22.96</w:t>
            </w:r>
          </w:p>
        </w:tc>
        <w:tc>
          <w:tcPr>
            <w:tcW w:w="14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$ 48,657</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22.39</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16,587</w:t>
            </w: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18.69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78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80" w:right="219" w:hanging="330"/>
        <w:spacing w:after="0" w:line="227" w:lineRule="auto"/>
        <w:tabs>
          <w:tab w:leader="none" w:pos="380" w:val="left"/>
        </w:tabs>
        <w:numPr>
          <w:ilvl w:val="0"/>
          <w:numId w:val="9"/>
        </w:numPr>
        <w:rPr>
          <w:rFonts w:ascii="Arial" w:cs="Arial" w:eastAsia="Arial" w:hAnsi="Arial"/>
          <w:sz w:val="12"/>
          <w:szCs w:val="12"/>
          <w:i w:val="1"/>
          <w:iCs w:val="1"/>
          <w:color w:val="auto"/>
        </w:rPr>
      </w:pPr>
      <w:r>
        <w:rPr>
          <w:rFonts w:ascii="Arial" w:cs="Arial" w:eastAsia="Arial" w:hAnsi="Arial"/>
          <w:sz w:val="14"/>
          <w:szCs w:val="14"/>
          <w:color w:val="auto"/>
        </w:rPr>
        <w:t>Equivalent oil reserves are defined as six Mcf of natural gas and 42 gallons of NGLs to one barrel of oil conversion ratio which reflects energy equivalence and not price equivalence. Natural gas prices per Mcf and NGL prices per barrel often differ significantly from the equivalent amount of oil.</w:t>
      </w:r>
    </w:p>
    <w:p>
      <w:pPr>
        <w:ind w:left="380" w:right="139" w:hanging="330"/>
        <w:spacing w:after="0" w:line="232" w:lineRule="auto"/>
        <w:tabs>
          <w:tab w:leader="none" w:pos="380" w:val="left"/>
        </w:tabs>
        <w:numPr>
          <w:ilvl w:val="0"/>
          <w:numId w:val="9"/>
        </w:numPr>
        <w:rPr>
          <w:rFonts w:ascii="Arial" w:cs="Arial" w:eastAsia="Arial" w:hAnsi="Arial"/>
          <w:sz w:val="12"/>
          <w:szCs w:val="12"/>
          <w:i w:val="1"/>
          <w:iCs w:val="1"/>
          <w:color w:val="auto"/>
        </w:rPr>
      </w:pPr>
      <w:r>
        <w:rPr>
          <w:rFonts w:ascii="Arial" w:cs="Arial" w:eastAsia="Arial" w:hAnsi="Arial"/>
          <w:sz w:val="14"/>
          <w:szCs w:val="14"/>
          <w:color w:val="auto"/>
        </w:rPr>
        <w:t>Average daily production presented in the table above represents our fiscal year production divided by 365 days in the year. At Williston and Jonah, our average daily production since their respective acquisition dates of January 14, 2022 and April 1, 2022 through June 30, 2022, was 0.5 MBOEPD and 2.1 MBOEPD, respectively.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Productive Wells</w:t>
      </w:r>
    </w:p>
    <w:p>
      <w:pPr>
        <w:spacing w:after="0" w:line="229"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The following table sets forth the number of productive oil and natural gas wells in which we own a working interest as of June 30, 2023.</w:t>
      </w:r>
    </w:p>
    <w:p>
      <w:pPr>
        <w:spacing w:after="0" w:line="184" w:lineRule="exact"/>
        <w:rPr>
          <w:sz w:val="20"/>
          <w:szCs w:val="20"/>
          <w:color w:val="auto"/>
        </w:rPr>
      </w:pPr>
    </w:p>
    <w:tbl>
      <w:tblPr>
        <w:tblLayout w:type="fixed"/>
        <w:tblInd w:w="1180" w:type="dxa"/>
        <w:tblCellMar>
          <w:top w:w="0" w:type="dxa"/>
          <w:left w:w="0" w:type="dxa"/>
          <w:bottom w:w="0" w:type="dxa"/>
          <w:right w:w="0" w:type="dxa"/>
        </w:tblCellMar>
      </w:tblPr>
      <w:tr>
        <w:trPr>
          <w:trHeight w:val="210"/>
        </w:trPr>
        <w:tc>
          <w:tcPr>
            <w:tcW w:w="1920" w:type="dxa"/>
            <w:vAlign w:val="bottom"/>
          </w:tcPr>
          <w:p>
            <w:pPr>
              <w:spacing w:after="0"/>
              <w:rPr>
                <w:sz w:val="18"/>
                <w:szCs w:val="18"/>
                <w:color w:val="auto"/>
              </w:rPr>
            </w:pPr>
          </w:p>
        </w:tc>
        <w:tc>
          <w:tcPr>
            <w:tcW w:w="1620" w:type="dxa"/>
            <w:vAlign w:val="bottom"/>
            <w:gridSpan w:val="4"/>
          </w:tcPr>
          <w:p>
            <w:pPr>
              <w:ind w:left="40"/>
              <w:spacing w:after="0"/>
              <w:rPr>
                <w:sz w:val="20"/>
                <w:szCs w:val="20"/>
                <w:color w:val="auto"/>
              </w:rPr>
            </w:pPr>
            <w:r>
              <w:rPr>
                <w:rFonts w:ascii="Arial" w:cs="Arial" w:eastAsia="Arial" w:hAnsi="Arial"/>
                <w:sz w:val="16"/>
                <w:szCs w:val="16"/>
                <w:b w:val="1"/>
                <w:bCs w:val="1"/>
                <w:color w:val="auto"/>
              </w:rPr>
              <w:t>Company Operated</w:t>
            </w:r>
          </w:p>
        </w:tc>
        <w:tc>
          <w:tcPr>
            <w:tcW w:w="1620" w:type="dxa"/>
            <w:vAlign w:val="bottom"/>
            <w:gridSpan w:val="4"/>
          </w:tcPr>
          <w:p>
            <w:pPr>
              <w:ind w:left="220"/>
              <w:spacing w:after="0"/>
              <w:rPr>
                <w:sz w:val="20"/>
                <w:szCs w:val="20"/>
                <w:color w:val="auto"/>
              </w:rPr>
            </w:pPr>
            <w:r>
              <w:rPr>
                <w:rFonts w:ascii="Arial" w:cs="Arial" w:eastAsia="Arial" w:hAnsi="Arial"/>
                <w:sz w:val="16"/>
                <w:szCs w:val="16"/>
                <w:b w:val="1"/>
                <w:bCs w:val="1"/>
                <w:color w:val="auto"/>
              </w:rPr>
              <w:t>Non-Operated</w:t>
            </w:r>
          </w:p>
        </w:tc>
        <w:tc>
          <w:tcPr>
            <w:tcW w:w="980" w:type="dxa"/>
            <w:vAlign w:val="bottom"/>
            <w:gridSpan w:val="3"/>
          </w:tcPr>
          <w:p>
            <w:pPr>
              <w:ind w:left="560"/>
              <w:spacing w:after="0"/>
              <w:rPr>
                <w:sz w:val="20"/>
                <w:szCs w:val="20"/>
                <w:color w:val="auto"/>
              </w:rPr>
            </w:pPr>
            <w:r>
              <w:rPr>
                <w:rFonts w:ascii="Arial" w:cs="Arial" w:eastAsia="Arial" w:hAnsi="Arial"/>
                <w:sz w:val="16"/>
                <w:szCs w:val="16"/>
                <w:b w:val="1"/>
                <w:bCs w:val="1"/>
                <w:color w:val="auto"/>
              </w:rPr>
              <w:t>Total</w:t>
            </w:r>
          </w:p>
        </w:tc>
        <w:tc>
          <w:tcPr>
            <w:tcW w:w="500" w:type="dxa"/>
            <w:vAlign w:val="bottom"/>
          </w:tcPr>
          <w:p>
            <w:pPr>
              <w:spacing w:after="0"/>
              <w:rPr>
                <w:sz w:val="18"/>
                <w:szCs w:val="18"/>
                <w:color w:val="auto"/>
              </w:rPr>
            </w:pPr>
          </w:p>
        </w:tc>
      </w:tr>
      <w:tr>
        <w:trPr>
          <w:trHeight w:val="202"/>
        </w:trPr>
        <w:tc>
          <w:tcPr>
            <w:tcW w:w="1920" w:type="dxa"/>
            <w:vAlign w:val="bottom"/>
          </w:tcPr>
          <w:p>
            <w:pPr>
              <w:spacing w:after="0"/>
              <w:rPr>
                <w:sz w:val="17"/>
                <w:szCs w:val="17"/>
                <w:color w:val="auto"/>
              </w:rPr>
            </w:pPr>
          </w:p>
        </w:tc>
        <w:tc>
          <w:tcPr>
            <w:tcW w:w="80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Gross</w:t>
            </w:r>
          </w:p>
        </w:tc>
        <w:tc>
          <w:tcPr>
            <w:tcW w:w="660" w:type="dxa"/>
            <w:vAlign w:val="bottom"/>
            <w:tcBorders>
              <w:top w:val="single" w:sz="8" w:color="auto"/>
            </w:tcBorders>
          </w:tcPr>
          <w:p>
            <w:pPr>
              <w:ind w:left="220"/>
              <w:spacing w:after="0"/>
              <w:rPr>
                <w:sz w:val="20"/>
                <w:szCs w:val="20"/>
                <w:color w:val="auto"/>
              </w:rPr>
            </w:pPr>
            <w:r>
              <w:rPr>
                <w:rFonts w:ascii="Arial" w:cs="Arial" w:eastAsia="Arial" w:hAnsi="Arial"/>
                <w:sz w:val="16"/>
                <w:szCs w:val="16"/>
                <w:b w:val="1"/>
                <w:bCs w:val="1"/>
                <w:color w:val="auto"/>
              </w:rPr>
              <w:t>Net</w:t>
            </w:r>
          </w:p>
        </w:tc>
        <w:tc>
          <w:tcPr>
            <w:tcW w:w="160" w:type="dxa"/>
            <w:vAlign w:val="bottom"/>
          </w:tcPr>
          <w:p>
            <w:pPr>
              <w:spacing w:after="0"/>
              <w:rPr>
                <w:sz w:val="17"/>
                <w:szCs w:val="17"/>
                <w:color w:val="auto"/>
              </w:rPr>
            </w:pPr>
          </w:p>
        </w:tc>
        <w:tc>
          <w:tcPr>
            <w:tcW w:w="80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Gross</w:t>
            </w:r>
          </w:p>
        </w:tc>
        <w:tc>
          <w:tcPr>
            <w:tcW w:w="6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Net</w:t>
            </w:r>
          </w:p>
        </w:tc>
        <w:tc>
          <w:tcPr>
            <w:tcW w:w="160" w:type="dxa"/>
            <w:vAlign w:val="bottom"/>
          </w:tcPr>
          <w:p>
            <w:pPr>
              <w:spacing w:after="0"/>
              <w:rPr>
                <w:sz w:val="17"/>
                <w:szCs w:val="17"/>
                <w:color w:val="auto"/>
              </w:rPr>
            </w:pPr>
          </w:p>
        </w:tc>
        <w:tc>
          <w:tcPr>
            <w:tcW w:w="980" w:type="dxa"/>
            <w:vAlign w:val="bottom"/>
            <w:tcBorders>
              <w:top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Gross</w:t>
            </w:r>
          </w:p>
        </w:tc>
        <w:tc>
          <w:tcPr>
            <w:tcW w:w="5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Net</w:t>
            </w:r>
          </w:p>
        </w:tc>
      </w:tr>
      <w:tr>
        <w:trPr>
          <w:trHeight w:val="196"/>
        </w:trPr>
        <w:tc>
          <w:tcPr>
            <w:tcW w:w="1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Oil</w:t>
            </w:r>
          </w:p>
        </w:tc>
        <w:tc>
          <w:tcPr>
            <w:tcW w:w="64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84.3</w:t>
            </w: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84.3</w:t>
            </w:r>
          </w:p>
        </w:tc>
      </w:tr>
      <w:tr>
        <w:trPr>
          <w:trHeight w:val="203"/>
        </w:trPr>
        <w:tc>
          <w:tcPr>
            <w:tcW w:w="1920" w:type="dxa"/>
            <w:vAlign w:val="bottom"/>
          </w:tcPr>
          <w:p>
            <w:pPr>
              <w:spacing w:after="0"/>
              <w:rPr>
                <w:sz w:val="20"/>
                <w:szCs w:val="20"/>
                <w:color w:val="auto"/>
              </w:rPr>
            </w:pPr>
            <w:r>
              <w:rPr>
                <w:rFonts w:ascii="Arial" w:cs="Arial" w:eastAsia="Arial" w:hAnsi="Arial"/>
                <w:sz w:val="16"/>
                <w:szCs w:val="16"/>
                <w:color w:val="auto"/>
              </w:rPr>
              <w:t>Natural gas</w:t>
            </w:r>
          </w:p>
        </w:tc>
        <w:tc>
          <w:tcPr>
            <w:tcW w:w="80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82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1,491</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216.8</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1,491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216.8</w:t>
            </w:r>
          </w:p>
        </w:tc>
      </w:tr>
      <w:tr>
        <w:trPr>
          <w:trHeight w:val="196"/>
        </w:trPr>
        <w:tc>
          <w:tcPr>
            <w:tcW w:w="19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6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301.1</w:t>
            </w:r>
          </w:p>
        </w:tc>
      </w:tr>
      <w:tr>
        <w:trPr>
          <w:trHeight w:val="20"/>
        </w:trPr>
        <w:tc>
          <w:tcPr>
            <w:tcW w:w="19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Acreage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sets forth certain information regarding our developed and undeveloped lease acreage as of</w:t>
      </w:r>
    </w:p>
    <w:p>
      <w:pPr>
        <w:spacing w:after="0" w:line="35" w:lineRule="exact"/>
        <w:rPr>
          <w:sz w:val="20"/>
          <w:szCs w:val="20"/>
          <w:color w:val="auto"/>
        </w:rPr>
      </w:pPr>
    </w:p>
    <w:p>
      <w:pPr>
        <w:ind w:left="60" w:right="199"/>
        <w:spacing w:after="0" w:line="253" w:lineRule="auto"/>
        <w:rPr>
          <w:sz w:val="20"/>
          <w:szCs w:val="20"/>
          <w:color w:val="auto"/>
        </w:rPr>
      </w:pPr>
      <w:r>
        <w:rPr>
          <w:rFonts w:ascii="Arial" w:cs="Arial" w:eastAsia="Arial" w:hAnsi="Arial"/>
          <w:sz w:val="18"/>
          <w:szCs w:val="18"/>
          <w:color w:val="auto"/>
        </w:rPr>
        <w:t>June 30, 2023. Developed acreage refers to acreage on which wells have been drilled or completed to a point that would allow production of oil and natural gas in commercial quantities. Undeveloped acreage refers to acreage on which wells have not been drilled or completed to a point that would permit production of oil and natural gas in commercial quantities whether or not the acreage contains proved reserves.</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620" w:type="dxa"/>
            <w:vAlign w:val="bottom"/>
            <w:gridSpan w:val="4"/>
            <w:vMerge w:val="restart"/>
          </w:tcPr>
          <w:p>
            <w:pPr>
              <w:ind w:left="120"/>
              <w:spacing w:after="0"/>
              <w:rPr>
                <w:sz w:val="20"/>
                <w:szCs w:val="20"/>
                <w:color w:val="auto"/>
              </w:rPr>
            </w:pPr>
            <w:r>
              <w:rPr>
                <w:rFonts w:ascii="Arial" w:cs="Arial" w:eastAsia="Arial" w:hAnsi="Arial"/>
                <w:sz w:val="16"/>
                <w:szCs w:val="16"/>
                <w:b w:val="1"/>
                <w:bCs w:val="1"/>
                <w:color w:val="auto"/>
              </w:rPr>
              <w:t>Field</w:t>
            </w:r>
            <w:r>
              <w:rPr>
                <w:rFonts w:ascii="Arial" w:cs="Arial" w:eastAsia="Arial" w:hAnsi="Arial"/>
                <w:sz w:val="24"/>
                <w:szCs w:val="24"/>
                <w:b w:val="1"/>
                <w:bCs w:val="1"/>
                <w:i w:val="1"/>
                <w:iCs w:val="1"/>
                <w:color w:val="auto"/>
                <w:vertAlign w:val="superscript"/>
              </w:rPr>
              <w:t>(1)</w:t>
            </w:r>
          </w:p>
        </w:tc>
        <w:tc>
          <w:tcPr>
            <w:tcW w:w="2100" w:type="dxa"/>
            <w:vAlign w:val="bottom"/>
            <w:gridSpan w:val="4"/>
          </w:tcPr>
          <w:p>
            <w:pPr>
              <w:ind w:left="300"/>
              <w:spacing w:after="0"/>
              <w:rPr>
                <w:sz w:val="20"/>
                <w:szCs w:val="20"/>
                <w:color w:val="auto"/>
              </w:rPr>
            </w:pPr>
            <w:r>
              <w:rPr>
                <w:rFonts w:ascii="Arial" w:cs="Arial" w:eastAsia="Arial" w:hAnsi="Arial"/>
                <w:sz w:val="16"/>
                <w:szCs w:val="16"/>
                <w:b w:val="1"/>
                <w:bCs w:val="1"/>
                <w:color w:val="auto"/>
              </w:rPr>
              <w:t>Developed Acreage</w:t>
            </w:r>
          </w:p>
        </w:tc>
        <w:tc>
          <w:tcPr>
            <w:tcW w:w="2140" w:type="dxa"/>
            <w:vAlign w:val="bottom"/>
            <w:gridSpan w:val="4"/>
          </w:tcPr>
          <w:p>
            <w:pPr>
              <w:ind w:left="220"/>
              <w:spacing w:after="0"/>
              <w:rPr>
                <w:sz w:val="20"/>
                <w:szCs w:val="20"/>
                <w:color w:val="auto"/>
              </w:rPr>
            </w:pPr>
            <w:r>
              <w:rPr>
                <w:rFonts w:ascii="Arial" w:cs="Arial" w:eastAsia="Arial" w:hAnsi="Arial"/>
                <w:sz w:val="16"/>
                <w:szCs w:val="16"/>
                <w:b w:val="1"/>
                <w:bCs w:val="1"/>
                <w:color w:val="auto"/>
              </w:rPr>
              <w:t>Undeveloped Acreage</w:t>
            </w:r>
          </w:p>
        </w:tc>
        <w:tc>
          <w:tcPr>
            <w:tcW w:w="1260" w:type="dxa"/>
            <w:vAlign w:val="bottom"/>
            <w:gridSpan w:val="3"/>
          </w:tcPr>
          <w:p>
            <w:pPr>
              <w:ind w:left="780"/>
              <w:spacing w:after="0"/>
              <w:rPr>
                <w:sz w:val="20"/>
                <w:szCs w:val="20"/>
                <w:color w:val="auto"/>
              </w:rPr>
            </w:pPr>
            <w:r>
              <w:rPr>
                <w:rFonts w:ascii="Arial" w:cs="Arial" w:eastAsia="Arial" w:hAnsi="Arial"/>
                <w:sz w:val="16"/>
                <w:szCs w:val="16"/>
                <w:b w:val="1"/>
                <w:bCs w:val="1"/>
                <w:color w:val="auto"/>
              </w:rPr>
              <w:t>Total</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20" w:type="dxa"/>
            <w:vAlign w:val="bottom"/>
            <w:gridSpan w:val="4"/>
            <w:vMerge w:val="continue"/>
          </w:tcPr>
          <w:p>
            <w:pPr>
              <w:spacing w:after="0"/>
              <w:rPr>
                <w:sz w:val="17"/>
                <w:szCs w:val="17"/>
                <w:color w:val="auto"/>
              </w:rPr>
            </w:pPr>
          </w:p>
        </w:tc>
        <w:tc>
          <w:tcPr>
            <w:tcW w:w="1040" w:type="dxa"/>
            <w:vAlign w:val="bottom"/>
            <w:tcBorders>
              <w:top w:val="single" w:sz="8" w:color="auto"/>
            </w:tcBorders>
            <w:gridSpan w:val="2"/>
          </w:tcPr>
          <w:p>
            <w:pPr>
              <w:ind w:left="220"/>
              <w:spacing w:after="0"/>
              <w:rPr>
                <w:sz w:val="20"/>
                <w:szCs w:val="20"/>
                <w:color w:val="auto"/>
              </w:rPr>
            </w:pPr>
            <w:r>
              <w:rPr>
                <w:rFonts w:ascii="Arial" w:cs="Arial" w:eastAsia="Arial" w:hAnsi="Arial"/>
                <w:sz w:val="16"/>
                <w:szCs w:val="16"/>
                <w:b w:val="1"/>
                <w:bCs w:val="1"/>
                <w:color w:val="auto"/>
              </w:rPr>
              <w:t>Gross</w:t>
            </w:r>
          </w:p>
        </w:tc>
        <w:tc>
          <w:tcPr>
            <w:tcW w:w="88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Net</w:t>
            </w:r>
          </w:p>
        </w:tc>
        <w:tc>
          <w:tcPr>
            <w:tcW w:w="180" w:type="dxa"/>
            <w:vAlign w:val="bottom"/>
          </w:tcPr>
          <w:p>
            <w:pPr>
              <w:spacing w:after="0"/>
              <w:rPr>
                <w:sz w:val="17"/>
                <w:szCs w:val="17"/>
                <w:color w:val="auto"/>
              </w:rPr>
            </w:pPr>
          </w:p>
        </w:tc>
        <w:tc>
          <w:tcPr>
            <w:tcW w:w="1060" w:type="dxa"/>
            <w:vAlign w:val="bottom"/>
            <w:tcBorders>
              <w:top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Gross</w:t>
            </w:r>
          </w:p>
        </w:tc>
        <w:tc>
          <w:tcPr>
            <w:tcW w:w="90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Net</w:t>
            </w:r>
          </w:p>
        </w:tc>
        <w:tc>
          <w:tcPr>
            <w:tcW w:w="180" w:type="dxa"/>
            <w:vAlign w:val="bottom"/>
          </w:tcPr>
          <w:p>
            <w:pPr>
              <w:spacing w:after="0"/>
              <w:rPr>
                <w:sz w:val="17"/>
                <w:szCs w:val="17"/>
                <w:color w:val="auto"/>
              </w:rPr>
            </w:pPr>
          </w:p>
        </w:tc>
        <w:tc>
          <w:tcPr>
            <w:tcW w:w="1260" w:type="dxa"/>
            <w:vAlign w:val="bottom"/>
            <w:tcBorders>
              <w:top w:val="single" w:sz="8" w:color="auto"/>
            </w:tcBorders>
            <w:gridSpan w:val="3"/>
          </w:tcPr>
          <w:p>
            <w:pPr>
              <w:ind w:left="240"/>
              <w:spacing w:after="0"/>
              <w:rPr>
                <w:sz w:val="20"/>
                <w:szCs w:val="20"/>
                <w:color w:val="auto"/>
              </w:rPr>
            </w:pPr>
            <w:r>
              <w:rPr>
                <w:rFonts w:ascii="Arial" w:cs="Arial" w:eastAsia="Arial" w:hAnsi="Arial"/>
                <w:sz w:val="16"/>
                <w:szCs w:val="16"/>
                <w:b w:val="1"/>
                <w:bCs w:val="1"/>
                <w:color w:val="auto"/>
              </w:rPr>
              <w:t>Gross</w:t>
            </w:r>
          </w:p>
        </w:tc>
        <w:tc>
          <w:tcPr>
            <w:tcW w:w="70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3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Jonah Field, Wyoming</w:t>
            </w:r>
          </w:p>
        </w:tc>
        <w:tc>
          <w:tcPr>
            <w:tcW w:w="1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5,280</w:t>
            </w: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956</w:t>
            </w:r>
          </w:p>
        </w:tc>
        <w:tc>
          <w:tcPr>
            <w:tcW w:w="1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5,280</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956</w:t>
            </w:r>
          </w:p>
        </w:tc>
        <w:tc>
          <w:tcPr>
            <w:tcW w:w="0" w:type="dxa"/>
            <w:vAlign w:val="bottom"/>
          </w:tcPr>
          <w:p>
            <w:pPr>
              <w:spacing w:after="0"/>
              <w:rPr>
                <w:sz w:val="1"/>
                <w:szCs w:val="1"/>
                <w:color w:val="auto"/>
              </w:rPr>
            </w:pPr>
          </w:p>
        </w:tc>
      </w:tr>
      <w:tr>
        <w:trPr>
          <w:trHeight w:val="202"/>
        </w:trPr>
        <w:tc>
          <w:tcPr>
            <w:tcW w:w="140" w:type="dxa"/>
            <w:vAlign w:val="bottom"/>
          </w:tcPr>
          <w:p>
            <w:pPr>
              <w:spacing w:after="0"/>
              <w:rPr>
                <w:sz w:val="17"/>
                <w:szCs w:val="17"/>
                <w:color w:val="auto"/>
              </w:rPr>
            </w:pPr>
          </w:p>
        </w:tc>
        <w:tc>
          <w:tcPr>
            <w:tcW w:w="2480" w:type="dxa"/>
            <w:vAlign w:val="bottom"/>
            <w:gridSpan w:val="3"/>
          </w:tcPr>
          <w:p>
            <w:pPr>
              <w:spacing w:after="0"/>
              <w:rPr>
                <w:sz w:val="20"/>
                <w:szCs w:val="20"/>
                <w:color w:val="auto"/>
              </w:rPr>
            </w:pPr>
            <w:r>
              <w:rPr>
                <w:rFonts w:ascii="Arial" w:cs="Arial" w:eastAsia="Arial" w:hAnsi="Arial"/>
                <w:sz w:val="16"/>
                <w:szCs w:val="16"/>
                <w:color w:val="auto"/>
              </w:rPr>
              <w:t>Williston Basin, North Dakota</w:t>
            </w:r>
          </w:p>
        </w:tc>
        <w:tc>
          <w:tcPr>
            <w:tcW w:w="880" w:type="dxa"/>
            <w:vAlign w:val="bottom"/>
          </w:tcPr>
          <w:p>
            <w:pPr>
              <w:jc w:val="right"/>
              <w:spacing w:after="0"/>
              <w:rPr>
                <w:sz w:val="20"/>
                <w:szCs w:val="20"/>
                <w:color w:val="auto"/>
              </w:rPr>
            </w:pPr>
            <w:r>
              <w:rPr>
                <w:rFonts w:ascii="Arial" w:cs="Arial" w:eastAsia="Arial" w:hAnsi="Arial"/>
                <w:sz w:val="16"/>
                <w:szCs w:val="16"/>
                <w:color w:val="auto"/>
              </w:rPr>
              <w:t>124,800</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37,306</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20,943</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6,020</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145,743</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43,326</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24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Barnett Shale, Texas</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123,777</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20,918</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123,777</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20,918</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2480" w:type="dxa"/>
            <w:vAlign w:val="bottom"/>
            <w:gridSpan w:val="3"/>
          </w:tcPr>
          <w:p>
            <w:pPr>
              <w:spacing w:after="0"/>
              <w:rPr>
                <w:sz w:val="20"/>
                <w:szCs w:val="20"/>
                <w:color w:val="auto"/>
              </w:rPr>
            </w:pPr>
            <w:r>
              <w:rPr>
                <w:rFonts w:ascii="Arial" w:cs="Arial" w:eastAsia="Arial" w:hAnsi="Arial"/>
                <w:sz w:val="16"/>
                <w:szCs w:val="16"/>
                <w:color w:val="auto"/>
              </w:rPr>
              <w:t>Hamilton Dome Field, Wyoming</w:t>
            </w:r>
          </w:p>
        </w:tc>
        <w:tc>
          <w:tcPr>
            <w:tcW w:w="880" w:type="dxa"/>
            <w:vAlign w:val="bottom"/>
          </w:tcPr>
          <w:p>
            <w:pPr>
              <w:jc w:val="right"/>
              <w:spacing w:after="0"/>
              <w:rPr>
                <w:sz w:val="20"/>
                <w:szCs w:val="20"/>
                <w:color w:val="auto"/>
              </w:rPr>
            </w:pPr>
            <w:r>
              <w:rPr>
                <w:rFonts w:ascii="Arial" w:cs="Arial" w:eastAsia="Arial" w:hAnsi="Arial"/>
                <w:sz w:val="16"/>
                <w:szCs w:val="16"/>
                <w:color w:val="auto"/>
              </w:rPr>
              <w:t>5,908</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1,389</w:t>
            </w:r>
          </w:p>
        </w:tc>
        <w:tc>
          <w:tcPr>
            <w:tcW w:w="18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5,908</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1,389</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24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Delhi Field, Louisiana</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9,126</w:t>
            </w:r>
          </w:p>
        </w:tc>
        <w:tc>
          <w:tcPr>
            <w:tcW w:w="16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2,180</w:t>
            </w:r>
          </w:p>
        </w:tc>
        <w:tc>
          <w:tcPr>
            <w:tcW w:w="18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4,510</w:t>
            </w:r>
          </w:p>
        </w:tc>
        <w:tc>
          <w:tcPr>
            <w:tcW w:w="16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1,077</w:t>
            </w:r>
          </w:p>
        </w:tc>
        <w:tc>
          <w:tcPr>
            <w:tcW w:w="18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13,636</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3,257</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480" w:type="dxa"/>
            <w:vAlign w:val="bottom"/>
            <w:gridSpan w:val="3"/>
          </w:tcPr>
          <w:p>
            <w:pPr>
              <w:spacing w:after="0" w:line="195" w:lineRule="exact"/>
              <w:rPr>
                <w:sz w:val="20"/>
                <w:szCs w:val="20"/>
                <w:color w:val="auto"/>
              </w:rPr>
            </w:pPr>
            <w:r>
              <w:rPr>
                <w:rFonts w:ascii="Arial" w:cs="Arial" w:eastAsia="Arial" w:hAnsi="Arial"/>
                <w:sz w:val="15"/>
                <w:szCs w:val="15"/>
                <w:color w:val="auto"/>
              </w:rPr>
              <w:t>Total</w:t>
            </w:r>
            <w:r>
              <w:rPr>
                <w:rFonts w:ascii="Arial" w:cs="Arial" w:eastAsia="Arial" w:hAnsi="Arial"/>
                <w:sz w:val="22"/>
                <w:szCs w:val="22"/>
                <w:color w:val="auto"/>
                <w:vertAlign w:val="superscript"/>
              </w:rPr>
              <w:t>(2)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268,891</w:t>
            </w:r>
          </w:p>
        </w:tc>
        <w:tc>
          <w:tcPr>
            <w:tcW w:w="16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62,749</w:t>
            </w:r>
          </w:p>
        </w:tc>
        <w:tc>
          <w:tcPr>
            <w:tcW w:w="18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25,453</w:t>
            </w:r>
          </w:p>
        </w:tc>
        <w:tc>
          <w:tcPr>
            <w:tcW w:w="16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7,097</w:t>
            </w:r>
          </w:p>
        </w:tc>
        <w:tc>
          <w:tcPr>
            <w:tcW w:w="18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294,344</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69,846</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4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80" w:right="259" w:hanging="330"/>
        <w:spacing w:after="0" w:line="219" w:lineRule="auto"/>
        <w:tabs>
          <w:tab w:leader="none" w:pos="380" w:val="left"/>
        </w:tabs>
        <w:numPr>
          <w:ilvl w:val="0"/>
          <w:numId w:val="10"/>
        </w:numPr>
        <w:rPr>
          <w:rFonts w:ascii="Arial" w:cs="Arial" w:eastAsia="Arial" w:hAnsi="Arial"/>
          <w:sz w:val="27"/>
          <w:szCs w:val="27"/>
          <w:i w:val="1"/>
          <w:iCs w:val="1"/>
          <w:color w:val="auto"/>
          <w:vertAlign w:val="superscript"/>
        </w:rPr>
      </w:pPr>
      <w:r>
        <w:rPr>
          <w:rFonts w:ascii="Arial" w:cs="Arial" w:eastAsia="Arial" w:hAnsi="Arial"/>
          <w:sz w:val="18"/>
          <w:szCs w:val="18"/>
          <w:color w:val="auto"/>
        </w:rPr>
        <w:t>Except for our undeveloped acreage in Williston Basin, North Dakota (see expiration table below), all acreage, including any undeveloped, nonproductive or undrilled acreage, is held by existing production as long as continuous production is maintained in the unit.</w:t>
      </w:r>
    </w:p>
    <w:p>
      <w:pPr>
        <w:spacing w:after="0" w:line="1" w:lineRule="exact"/>
        <w:rPr>
          <w:rFonts w:ascii="Arial" w:cs="Arial" w:eastAsia="Arial" w:hAnsi="Arial"/>
          <w:sz w:val="27"/>
          <w:szCs w:val="27"/>
          <w:i w:val="1"/>
          <w:iCs w:val="1"/>
          <w:color w:val="auto"/>
          <w:vertAlign w:val="superscript"/>
        </w:rPr>
      </w:pPr>
    </w:p>
    <w:p>
      <w:pPr>
        <w:ind w:left="380" w:right="239" w:hanging="330"/>
        <w:spacing w:after="0" w:line="259" w:lineRule="auto"/>
        <w:tabs>
          <w:tab w:leader="none" w:pos="380" w:val="left"/>
        </w:tabs>
        <w:numPr>
          <w:ilvl w:val="0"/>
          <w:numId w:val="10"/>
        </w:numPr>
        <w:rPr>
          <w:rFonts w:ascii="Arial" w:cs="Arial" w:eastAsia="Arial" w:hAnsi="Arial"/>
          <w:sz w:val="24"/>
          <w:szCs w:val="24"/>
          <w:i w:val="1"/>
          <w:iCs w:val="1"/>
          <w:color w:val="auto"/>
          <w:vertAlign w:val="superscript"/>
        </w:rPr>
      </w:pPr>
      <w:r>
        <w:rPr>
          <w:rFonts w:ascii="Arial" w:cs="Arial" w:eastAsia="Arial" w:hAnsi="Arial"/>
          <w:sz w:val="16"/>
          <w:szCs w:val="16"/>
          <w:color w:val="auto"/>
        </w:rPr>
        <w:t>This table excludes acreage attributable to small overriding royalty interests retained in various formations in the Texas Giddings Field area. Except for de minimis production that began on two leases during late fiscal year 2019, none of such acreage is currently producing and our interests are subject to expiration if leases are not maintained by others or commercial production is not established. It does not currently appear likely that we will obtain any significant value from these interests and no reserves have been assigned to any of the Giddings’ interests.</w:t>
      </w:r>
    </w:p>
    <w:p>
      <w:pPr>
        <w:spacing w:after="0" w:line="190" w:lineRule="exact"/>
        <w:rPr>
          <w:sz w:val="20"/>
          <w:szCs w:val="20"/>
          <w:color w:val="auto"/>
        </w:rPr>
      </w:pPr>
    </w:p>
    <w:p>
      <w:pPr>
        <w:jc w:val="both"/>
        <w:ind w:left="60" w:right="139"/>
        <w:spacing w:after="0" w:line="255" w:lineRule="auto"/>
        <w:rPr>
          <w:sz w:val="20"/>
          <w:szCs w:val="20"/>
          <w:color w:val="auto"/>
        </w:rPr>
      </w:pPr>
      <w:r>
        <w:rPr>
          <w:rFonts w:ascii="Arial" w:cs="Arial" w:eastAsia="Arial" w:hAnsi="Arial"/>
          <w:sz w:val="18"/>
          <w:szCs w:val="18"/>
          <w:color w:val="auto"/>
        </w:rPr>
        <w:t>The table below reflects our net undeveloped acreage in Williston Basin, North Dakota as of June 30, 2023 that will expire each year if we do not establish production in paying quantities on the units in which such acreage is included to maintain the lease:</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b w:val="1"/>
                <w:bCs w:val="1"/>
                <w:color w:val="auto"/>
              </w:rPr>
              <w:t>Net Acreage</w:t>
            </w:r>
          </w:p>
        </w:tc>
      </w:tr>
      <w:tr>
        <w:trPr>
          <w:trHeight w:val="226"/>
        </w:trPr>
        <w:tc>
          <w:tcPr>
            <w:tcW w:w="5560" w:type="dxa"/>
            <w:vAlign w:val="bottom"/>
            <w:gridSpan w:val="4"/>
          </w:tcPr>
          <w:p>
            <w:pPr>
              <w:ind w:left="2160"/>
              <w:spacing w:after="0"/>
              <w:rPr>
                <w:sz w:val="20"/>
                <w:szCs w:val="20"/>
                <w:color w:val="auto"/>
              </w:rPr>
            </w:pPr>
            <w:r>
              <w:rPr>
                <w:rFonts w:ascii="Arial" w:cs="Arial" w:eastAsia="Arial" w:hAnsi="Arial"/>
                <w:sz w:val="16"/>
                <w:szCs w:val="16"/>
                <w:b w:val="1"/>
                <w:bCs w:val="1"/>
                <w:color w:val="auto"/>
              </w:rPr>
              <w:t>Fiscal Year</w:t>
            </w:r>
          </w:p>
        </w:tc>
        <w:tc>
          <w:tcPr>
            <w:tcW w:w="1220" w:type="dxa"/>
            <w:vAlign w:val="bottom"/>
          </w:tcPr>
          <w:p>
            <w:pPr>
              <w:jc w:val="right"/>
              <w:ind w:right="99"/>
              <w:spacing w:after="0" w:line="226" w:lineRule="exact"/>
              <w:rPr>
                <w:sz w:val="20"/>
                <w:szCs w:val="20"/>
                <w:color w:val="auto"/>
              </w:rPr>
            </w:pPr>
            <w:r>
              <w:rPr>
                <w:rFonts w:ascii="Arial" w:cs="Arial" w:eastAsia="Arial" w:hAnsi="Arial"/>
                <w:sz w:val="16"/>
                <w:szCs w:val="16"/>
                <w:b w:val="1"/>
                <w:bCs w:val="1"/>
                <w:color w:val="auto"/>
              </w:rPr>
              <w:t>Expiration</w:t>
            </w:r>
            <w:r>
              <w:rPr>
                <w:rFonts w:ascii="Arial" w:cs="Arial" w:eastAsia="Arial" w:hAnsi="Arial"/>
                <w:sz w:val="24"/>
                <w:szCs w:val="24"/>
                <w:i w:val="1"/>
                <w:iCs w:val="1"/>
                <w:color w:val="auto"/>
                <w:vertAlign w:val="superscript"/>
              </w:rPr>
              <w:t>(1)</w:t>
            </w:r>
          </w:p>
        </w:tc>
      </w:tr>
      <w:tr>
        <w:trPr>
          <w:trHeight w:val="196"/>
        </w:trPr>
        <w:tc>
          <w:tcPr>
            <w:tcW w:w="2160" w:type="dxa"/>
            <w:vAlign w:val="bottom"/>
          </w:tcPr>
          <w:p>
            <w:pPr>
              <w:spacing w:after="0"/>
              <w:rPr>
                <w:sz w:val="17"/>
                <w:szCs w:val="17"/>
                <w:color w:val="auto"/>
              </w:rPr>
            </w:pPr>
          </w:p>
        </w:tc>
        <w:tc>
          <w:tcPr>
            <w:tcW w:w="3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2024</w:t>
            </w:r>
          </w:p>
        </w:tc>
        <w:tc>
          <w:tcPr>
            <w:tcW w:w="2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w:t>
            </w:r>
          </w:p>
        </w:tc>
      </w:tr>
      <w:tr>
        <w:trPr>
          <w:trHeight w:val="203"/>
        </w:trPr>
        <w:tc>
          <w:tcPr>
            <w:tcW w:w="216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Arial" w:cs="Arial" w:eastAsia="Arial" w:hAnsi="Arial"/>
                <w:sz w:val="16"/>
                <w:szCs w:val="16"/>
                <w:color w:val="auto"/>
              </w:rPr>
              <w:t>2025</w:t>
            </w: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1,664</w:t>
            </w:r>
          </w:p>
        </w:tc>
      </w:tr>
      <w:tr>
        <w:trPr>
          <w:trHeight w:val="203"/>
        </w:trPr>
        <w:tc>
          <w:tcPr>
            <w:tcW w:w="2160" w:type="dxa"/>
            <w:vAlign w:val="bottom"/>
          </w:tcPr>
          <w:p>
            <w:pPr>
              <w:spacing w:after="0"/>
              <w:rPr>
                <w:sz w:val="17"/>
                <w:szCs w:val="17"/>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2026</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w:t>
            </w:r>
          </w:p>
        </w:tc>
      </w:tr>
      <w:tr>
        <w:trPr>
          <w:trHeight w:val="203"/>
        </w:trPr>
        <w:tc>
          <w:tcPr>
            <w:tcW w:w="216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Arial" w:cs="Arial" w:eastAsia="Arial" w:hAnsi="Arial"/>
                <w:sz w:val="16"/>
                <w:szCs w:val="16"/>
                <w:color w:val="auto"/>
              </w:rPr>
              <w:t>2027</w:t>
            </w: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2160" w:type="dxa"/>
            <w:vAlign w:val="bottom"/>
          </w:tcPr>
          <w:p>
            <w:pPr>
              <w:spacing w:after="0"/>
              <w:rPr>
                <w:sz w:val="17"/>
                <w:szCs w:val="17"/>
                <w:color w:val="auto"/>
              </w:rPr>
            </w:pPr>
          </w:p>
        </w:tc>
        <w:tc>
          <w:tcPr>
            <w:tcW w:w="34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2028 &amp; beyond</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w:t>
            </w:r>
          </w:p>
        </w:tc>
      </w:tr>
      <w:tr>
        <w:trPr>
          <w:trHeight w:val="196"/>
        </w:trPr>
        <w:tc>
          <w:tcPr>
            <w:tcW w:w="2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3,273</w:t>
            </w:r>
          </w:p>
        </w:tc>
      </w:tr>
      <w:tr>
        <w:trPr>
          <w:trHeight w:val="20"/>
        </w:trPr>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16"/>
        </w:trPr>
        <w:tc>
          <w:tcPr>
            <w:tcW w:w="2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tcPr>
          <w:p>
            <w:pPr>
              <w:spacing w:after="0"/>
              <w:rPr>
                <w:sz w:val="10"/>
                <w:szCs w:val="10"/>
                <w:color w:val="auto"/>
              </w:rPr>
            </w:pPr>
          </w:p>
        </w:tc>
      </w:tr>
    </w:tbl>
    <w:p>
      <w:pPr>
        <w:spacing w:after="0" w:line="39" w:lineRule="exact"/>
        <w:rPr>
          <w:sz w:val="20"/>
          <w:szCs w:val="20"/>
          <w:color w:val="auto"/>
        </w:rPr>
      </w:pPr>
    </w:p>
    <w:p>
      <w:pPr>
        <w:ind w:left="380" w:hanging="330"/>
        <w:spacing w:after="0"/>
        <w:tabs>
          <w:tab w:leader="none" w:pos="380" w:val="left"/>
        </w:tabs>
        <w:numPr>
          <w:ilvl w:val="0"/>
          <w:numId w:val="11"/>
        </w:numPr>
        <w:rPr>
          <w:rFonts w:ascii="Arial" w:cs="Arial" w:eastAsia="Arial" w:hAnsi="Arial"/>
          <w:sz w:val="26"/>
          <w:szCs w:val="26"/>
          <w:i w:val="1"/>
          <w:iCs w:val="1"/>
          <w:color w:val="auto"/>
          <w:vertAlign w:val="superscript"/>
        </w:rPr>
      </w:pPr>
      <w:r>
        <w:rPr>
          <w:rFonts w:ascii="Arial" w:cs="Arial" w:eastAsia="Arial" w:hAnsi="Arial"/>
          <w:sz w:val="17"/>
          <w:szCs w:val="17"/>
          <w:color w:val="auto"/>
        </w:rPr>
        <w:t>Excluded 2,747 net acres held by existing production as long as continuous production is maintained in the unit.</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Markets and Customers</w:t>
      </w:r>
    </w:p>
    <w:p>
      <w:pPr>
        <w:spacing w:after="0" w:line="229" w:lineRule="exact"/>
        <w:rPr>
          <w:sz w:val="20"/>
          <w:szCs w:val="20"/>
          <w:color w:val="auto"/>
        </w:rPr>
      </w:pPr>
    </w:p>
    <w:p>
      <w:pPr>
        <w:ind w:left="60" w:right="479"/>
        <w:spacing w:after="0" w:line="342" w:lineRule="auto"/>
        <w:rPr>
          <w:sz w:val="20"/>
          <w:szCs w:val="20"/>
          <w:color w:val="auto"/>
        </w:rPr>
      </w:pPr>
      <w:r>
        <w:rPr>
          <w:rFonts w:ascii="Arial" w:cs="Arial" w:eastAsia="Arial" w:hAnsi="Arial"/>
          <w:sz w:val="16"/>
          <w:szCs w:val="16"/>
          <w:color w:val="auto"/>
        </w:rPr>
        <w:t>Our production is marketed to third parties in a manner consistent with industry practices. In the United States market where our properties are operated, crude oil, natural gas, and NGLs are readily transportable and marketable. In the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93" w:lineRule="auto"/>
        <w:rPr>
          <w:sz w:val="20"/>
          <w:szCs w:val="20"/>
          <w:color w:val="auto"/>
        </w:rPr>
      </w:pPr>
      <w:r>
        <w:rPr>
          <w:rFonts w:ascii="Arial" w:cs="Arial" w:eastAsia="Arial" w:hAnsi="Arial"/>
          <w:sz w:val="16"/>
          <w:szCs w:val="16"/>
          <w:color w:val="auto"/>
        </w:rPr>
        <w:t>Jonah Field, we take our natural gas and NGL working interest production in-kind and market separately to purchasers on six-month contracts for natural gas and to Enterprise Products Partners L.P. for NGLs. We do not currently market our share of oil, natural gas, or NGLs production from the Williston Basin, the Barnett Shale, the Hamilton Dome Field, or the Delhi Field separately from the operators’ shares of production. Although we have the right to take our working interest production in-kind, we are currently selling our production through the field operators pursuant to the delivery and pricing terms of their sales contracts. Under such arrangements, we typically do not know the identity of the buyers.</w:t>
      </w:r>
    </w:p>
    <w:p>
      <w:pPr>
        <w:spacing w:after="0" w:line="164" w:lineRule="exact"/>
        <w:rPr>
          <w:sz w:val="20"/>
          <w:szCs w:val="20"/>
          <w:color w:val="auto"/>
        </w:rPr>
      </w:pPr>
    </w:p>
    <w:p>
      <w:pPr>
        <w:ind w:left="60" w:right="99"/>
        <w:spacing w:after="0" w:line="289" w:lineRule="auto"/>
        <w:rPr>
          <w:sz w:val="20"/>
          <w:szCs w:val="20"/>
          <w:color w:val="auto"/>
        </w:rPr>
      </w:pPr>
      <w:r>
        <w:rPr>
          <w:rFonts w:ascii="Arial" w:cs="Arial" w:eastAsia="Arial" w:hAnsi="Arial"/>
          <w:sz w:val="16"/>
          <w:szCs w:val="16"/>
          <w:color w:val="auto"/>
        </w:rPr>
        <w:t>As a non-operator, we are highly dependent on the success of our third-party operators and the decisions made in connection with their operations. With the exception of the Jonah Field, our third-party operators sell our oil, natural gas, and NGLs to purchasers, collect the cash, and distribute the cash to us. In the year ended June 30, 2023, approximately 83% of our total revenues were realized from the Jonah Field, Barnett Shale and Delhi Field combined. Diversified, our largest operator at Barnett remitted approximately 26% of our total revenue proceeds to us and at Delhi Field, Denbury, the operator of the Field, remitted approximately 22% of our total revenue proceeds to us. At Jonah Field, where we take our natural gas and NGL production in-kind, during the current year, we sold approximately 17% of our total revenues to Conoco Phillips. In the year ended June 30, 2022, three operators each distributed over 10% of our oil, natural gas and NGL revenues making up approximately 83% of total revenues for the year.</w:t>
      </w:r>
    </w:p>
    <w:p>
      <w:pPr>
        <w:spacing w:after="0" w:line="166" w:lineRule="exact"/>
        <w:rPr>
          <w:sz w:val="20"/>
          <w:szCs w:val="20"/>
          <w:color w:val="auto"/>
        </w:rPr>
      </w:pPr>
    </w:p>
    <w:p>
      <w:pPr>
        <w:ind w:left="60" w:right="379"/>
        <w:spacing w:after="0" w:line="308" w:lineRule="auto"/>
        <w:rPr>
          <w:sz w:val="20"/>
          <w:szCs w:val="20"/>
          <w:color w:val="auto"/>
        </w:rPr>
      </w:pPr>
      <w:r>
        <w:rPr>
          <w:rFonts w:ascii="Arial" w:cs="Arial" w:eastAsia="Arial" w:hAnsi="Arial"/>
          <w:sz w:val="17"/>
          <w:szCs w:val="17"/>
          <w:color w:val="auto"/>
        </w:rPr>
        <w:t>The loss of a purchaser at any of our five major producing properties or disruption to pipeline transportation from these fields could adversely affect our net realized pricing and potentially our near-term production levels.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Conditions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Prices we receive for crude oil, natural gas, and NGLs are influenced by many factors that are beyond our control, the exact effect of which is difficult to predict. These factors include changes in supply and demand, the relative strength of the U.S. dollar, government regulation, weather, and actions of major foreign producers.</w:t>
      </w:r>
    </w:p>
    <w:p>
      <w:pPr>
        <w:spacing w:after="0" w:line="184" w:lineRule="exact"/>
        <w:rPr>
          <w:sz w:val="20"/>
          <w:szCs w:val="20"/>
          <w:color w:val="auto"/>
        </w:rPr>
      </w:pPr>
    </w:p>
    <w:p>
      <w:pPr>
        <w:ind w:left="60" w:right="259"/>
        <w:spacing w:after="0" w:line="273" w:lineRule="auto"/>
        <w:rPr>
          <w:sz w:val="20"/>
          <w:szCs w:val="20"/>
          <w:color w:val="auto"/>
        </w:rPr>
      </w:pPr>
      <w:r>
        <w:rPr>
          <w:rFonts w:ascii="Arial" w:cs="Arial" w:eastAsia="Arial" w:hAnsi="Arial"/>
          <w:sz w:val="17"/>
          <w:szCs w:val="17"/>
          <w:color w:val="auto"/>
        </w:rPr>
        <w:t>Oil and natural gas prices over the past few years have been volatile and we expect that volatility to continue. Worldwide factors such as global health pandemics, geopolitical, international trade disruptions and tariffs, macroeconomics, supply and demand, refining capacity, petrochemical production, and derivatives trading, among others, influence prices for oil, natural gas, and NGLs. Local and domestic factors also influence prices for oil, natural gas, and NGLs and include increasing or decreasing production trends, quality differences, regulation, legislation and transportation issues unique to certain producing regions and reservoirs.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60" w:right="79"/>
        <w:spacing w:after="0" w:line="254" w:lineRule="auto"/>
        <w:rPr>
          <w:sz w:val="20"/>
          <w:szCs w:val="20"/>
          <w:color w:val="auto"/>
        </w:rPr>
      </w:pPr>
      <w:r>
        <w:rPr>
          <w:rFonts w:ascii="Arial" w:cs="Arial" w:eastAsia="Arial" w:hAnsi="Arial"/>
          <w:sz w:val="18"/>
          <w:szCs w:val="18"/>
          <w:color w:val="auto"/>
        </w:rPr>
        <w:t>The oil and natural gas industry is highly competitive for prospects, acreage, and capital. Our competitors include major integrated oil and natural gas companies, numerous independent oil and natural gas companies, individuals, and drilling and income programs. Many of our competitors are large, well-established companies with substantially larger operating staff and greater capital resources. Competitors are national, regional, or local in scope and compete on the basis of financial resources, technical prowess or local knowledge. The principal competitive factors in our industry are expertise in given geographical areas and geologic systems and the ability to efficiently conduct operations, achieve technological advantages, identify and acquire economically producible reserves, and obtain capital at rates that allow economic investments.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 Management</w:t>
      </w:r>
    </w:p>
    <w:p>
      <w:pPr>
        <w:spacing w:after="0" w:line="229"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We are exposed to certain risks relating to our ongoing business operations, including commodity price risk. In accordance with our company policies and the covenants under the Senior Secured Credit Facility, derivative instruments are occasionally utilized to hedge our exposure to price fluctuations and reduce the variability in our cash flows associated with anticipated sales of future oil and natural gas production. We do not enter into derivative contracts for speculative trading purposes.</w:t>
      </w:r>
    </w:p>
    <w:p>
      <w:pPr>
        <w:spacing w:after="0" w:line="188" w:lineRule="exact"/>
        <w:rPr>
          <w:sz w:val="20"/>
          <w:szCs w:val="20"/>
          <w:color w:val="auto"/>
        </w:rPr>
      </w:pPr>
    </w:p>
    <w:p>
      <w:pPr>
        <w:ind w:left="60" w:right="439"/>
        <w:spacing w:after="0" w:line="342" w:lineRule="auto"/>
        <w:rPr>
          <w:sz w:val="20"/>
          <w:szCs w:val="20"/>
          <w:color w:val="auto"/>
        </w:rPr>
      </w:pPr>
      <w:r>
        <w:rPr>
          <w:rFonts w:ascii="Arial" w:cs="Arial" w:eastAsia="Arial" w:hAnsi="Arial"/>
          <w:sz w:val="16"/>
          <w:szCs w:val="16"/>
          <w:color w:val="auto"/>
        </w:rPr>
        <w:t>While there are many different types of derivative instruments available, historically we have used costless collars and fixed-price swaps to attempt to manage price risk. Costless collar agreements are put and call options used to establish</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color w:val="auto"/>
        </w:rPr>
        <w:t>floor and ceiling commodity prices for a fixed volume of production during a certain time period. All costless collar agreements provide for payments to counterparties if the settlement price under the agreement exceeds the ceiling and payments from the counterparties if the settlement price under the agreement is below the floor. The fixed-price swap agreements call for payments to, or receipts from, counterparties depending on whether the index price of oil or natural gas for the period is greater or less than the fixed price established for the period contracted under the fixed-price swap agreement.</w:t>
      </w:r>
    </w:p>
    <w:p>
      <w:pPr>
        <w:spacing w:after="0" w:line="192" w:lineRule="exact"/>
        <w:rPr>
          <w:sz w:val="20"/>
          <w:szCs w:val="20"/>
          <w:color w:val="auto"/>
        </w:rPr>
      </w:pPr>
    </w:p>
    <w:p>
      <w:pPr>
        <w:ind w:left="60" w:right="79"/>
        <w:spacing w:after="0" w:line="275" w:lineRule="auto"/>
        <w:rPr>
          <w:sz w:val="20"/>
          <w:szCs w:val="20"/>
          <w:color w:val="auto"/>
        </w:rPr>
      </w:pPr>
      <w:r>
        <w:rPr>
          <w:rFonts w:ascii="Arial" w:cs="Arial" w:eastAsia="Arial" w:hAnsi="Arial"/>
          <w:sz w:val="17"/>
          <w:szCs w:val="17"/>
          <w:color w:val="auto"/>
        </w:rPr>
        <w:t xml:space="preserve">It is our policy to enter into derivative contracts only with counterparties that are creditworthy financial institutions deemed by management as competent and competitive market makers. We will continue to evaluate the benefit of employing derivatives in the future. Our hedge strategies and objectives may change as our operational profile changes. See Item 7A. </w:t>
      </w:r>
      <w:r>
        <w:rPr>
          <w:rFonts w:ascii="Arial" w:cs="Arial" w:eastAsia="Arial" w:hAnsi="Arial"/>
          <w:sz w:val="17"/>
          <w:szCs w:val="17"/>
          <w:i w:val="1"/>
          <w:iCs w:val="1"/>
          <w:color w:val="auto"/>
        </w:rPr>
        <w:t xml:space="preserve">Quantitative and Qualitative Disclosures About Market Risk </w:t>
      </w:r>
      <w:r>
        <w:rPr>
          <w:rFonts w:ascii="Arial" w:cs="Arial" w:eastAsia="Arial" w:hAnsi="Arial"/>
          <w:sz w:val="17"/>
          <w:szCs w:val="17"/>
          <w:color w:val="auto"/>
        </w:rPr>
        <w:t>and Note 7,</w:t>
      </w:r>
      <w:r>
        <w:rPr>
          <w:rFonts w:ascii="Arial" w:cs="Arial" w:eastAsia="Arial" w:hAnsi="Arial"/>
          <w:sz w:val="17"/>
          <w:szCs w:val="17"/>
          <w:i w:val="1"/>
          <w:iCs w:val="1"/>
          <w:color w:val="auto"/>
        </w:rPr>
        <w:t xml:space="preserve"> “Derivatives” </w:t>
      </w:r>
      <w:r>
        <w:rPr>
          <w:rFonts w:ascii="Arial" w:cs="Arial" w:eastAsia="Arial" w:hAnsi="Arial"/>
          <w:sz w:val="17"/>
          <w:szCs w:val="17"/>
          <w:color w:val="auto"/>
        </w:rPr>
        <w:t>to our consolidated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statements in Item 8.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xml:space="preserve"> for additional information.</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As an oil and natural gas exploration and production company, our interests are subject to numerous legal requirements.</w:t>
      </w: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Regulation of Oil and Natural Gas Production</w:t>
      </w:r>
    </w:p>
    <w:p>
      <w:pPr>
        <w:spacing w:after="0" w:line="225" w:lineRule="exact"/>
        <w:rPr>
          <w:sz w:val="20"/>
          <w:szCs w:val="20"/>
          <w:color w:val="auto"/>
        </w:rPr>
      </w:pPr>
    </w:p>
    <w:p>
      <w:pPr>
        <w:ind w:left="60" w:right="79"/>
        <w:spacing w:after="0" w:line="283" w:lineRule="auto"/>
        <w:rPr>
          <w:sz w:val="20"/>
          <w:szCs w:val="20"/>
          <w:color w:val="auto"/>
        </w:rPr>
      </w:pPr>
      <w:r>
        <w:rPr>
          <w:rFonts w:ascii="Arial" w:cs="Arial" w:eastAsia="Arial" w:hAnsi="Arial"/>
          <w:sz w:val="16"/>
          <w:szCs w:val="16"/>
          <w:color w:val="auto"/>
        </w:rPr>
        <w:t>Federal, state and local authorities have promulgated extensive rules covering oil and natural gas exploration, production and related operations. Those regulations require our third-party operator to obtain permits, post bonds and submit reports. They also may address conservation, including unitization or pooling of oil and natural gas properties, well locations, the method of drilling and casing wells, surface use and restoration of properties where wells are drilled, sourcing and disposal of water used in the process of drilling, completion and abandonment, the establishment of maximum rates of production from wells, and plugging and abandonment of wells. The effect of these regulations is to limit the amount of oil and natural gas that we can produce and to limit the number of wells or the locations at which we can produce. Moreover, many states impose a production or severance tax with respect to the production and sale of oil, natural gas and natural gas liquids within their jurisdictions. Failure to comply with any applicable legal requirements may result in substantial</w:t>
      </w:r>
    </w:p>
    <w:p>
      <w:pPr>
        <w:spacing w:after="0" w:line="6" w:lineRule="exact"/>
        <w:rPr>
          <w:sz w:val="20"/>
          <w:szCs w:val="20"/>
          <w:color w:val="auto"/>
        </w:rPr>
      </w:pPr>
    </w:p>
    <w:p>
      <w:pPr>
        <w:jc w:val="both"/>
        <w:ind w:left="60" w:right="319"/>
        <w:spacing w:after="0" w:line="277" w:lineRule="auto"/>
        <w:rPr>
          <w:sz w:val="20"/>
          <w:szCs w:val="20"/>
          <w:color w:val="auto"/>
        </w:rPr>
      </w:pPr>
      <w:r>
        <w:rPr>
          <w:rFonts w:ascii="Arial" w:cs="Arial" w:eastAsia="Arial" w:hAnsi="Arial"/>
          <w:sz w:val="17"/>
          <w:szCs w:val="17"/>
          <w:color w:val="auto"/>
        </w:rPr>
        <w:t>penalties. Because such regulations are frequently amended or reinterpreted, we are unable to predict future compliance costs or impacts. Significant expenditures may be required to comply with governmental laws and regulations, however, and may have a material adverse effect on our financial condition and results of operations.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Regulation of Transportation of Oil and Natural Gas</w:t>
      </w:r>
    </w:p>
    <w:p>
      <w:pPr>
        <w:spacing w:after="0" w:line="225" w:lineRule="exact"/>
        <w:rPr>
          <w:sz w:val="20"/>
          <w:szCs w:val="20"/>
          <w:color w:val="auto"/>
        </w:rPr>
      </w:pPr>
    </w:p>
    <w:p>
      <w:pPr>
        <w:ind w:left="60" w:right="139"/>
        <w:spacing w:after="0" w:line="342" w:lineRule="auto"/>
        <w:rPr>
          <w:sz w:val="20"/>
          <w:szCs w:val="20"/>
          <w:color w:val="auto"/>
        </w:rPr>
      </w:pPr>
      <w:r>
        <w:rPr>
          <w:rFonts w:ascii="Arial" w:cs="Arial" w:eastAsia="Arial" w:hAnsi="Arial"/>
          <w:sz w:val="16"/>
          <w:szCs w:val="16"/>
          <w:color w:val="auto"/>
        </w:rPr>
        <w:t>The prices for crude oil, condensate and natural gas liquids and natural gas are negotiated and not currently regulated. But Congress, which has been active in oil and natural gas regulation, could impose price controls in the future.</w:t>
      </w:r>
    </w:p>
    <w:p>
      <w:pPr>
        <w:spacing w:after="0" w:line="124" w:lineRule="exact"/>
        <w:rPr>
          <w:sz w:val="20"/>
          <w:szCs w:val="20"/>
          <w:color w:val="auto"/>
        </w:rPr>
      </w:pPr>
    </w:p>
    <w:p>
      <w:pPr>
        <w:ind w:left="60" w:right="99"/>
        <w:spacing w:after="0" w:line="290" w:lineRule="auto"/>
        <w:rPr>
          <w:sz w:val="20"/>
          <w:szCs w:val="20"/>
          <w:color w:val="auto"/>
        </w:rPr>
      </w:pPr>
      <w:r>
        <w:rPr>
          <w:rFonts w:ascii="Arial" w:cs="Arial" w:eastAsia="Arial" w:hAnsi="Arial"/>
          <w:sz w:val="16"/>
          <w:szCs w:val="16"/>
          <w:color w:val="auto"/>
        </w:rPr>
        <w:t>Our sales of crude oil and natural gas are affected by the availability, terms and cost of transportation. The Federal Energy Regulatory Commission (“FERC”) primarily regulates interstate oil and natural gas transportation rates. In some circumstances, FERC regulations also may affect intrastate pipelines. In addition, states may impose on intrastate pipelines various obligations relating to such matters as safety, environmental protection, nondiscriminatory take and pay rates. The basis for intrastate oil and natural gas pipeline regulation, and the degree of regulatory oversight and scrutiny given to such matters, vary from state to state. To the extent effective interstate and intrastate rates are equally applicable to all comparable shippers, we believe that the regulation of oil and natural gas transportation rates will not affect our business in any way that is of material difference from those of our competitors who are similarly situated.</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25"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Our properties are subject to extensive and changing federal, state and local laws and regulations relating to the protection of the environment, worker safety and human health. Such requirements may address:</w:t>
      </w:r>
    </w:p>
    <w:p>
      <w:pPr>
        <w:spacing w:after="0" w:line="170" w:lineRule="exact"/>
        <w:rPr>
          <w:sz w:val="20"/>
          <w:szCs w:val="20"/>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generation, storage, handling, emission, transportation and disposal of materials;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reclamation or remediation of sites, including former operating areas;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acquisition of a permit or other authorization;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air emissions;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protection of water supplies;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limits on construction, drilling and other activities in wilderness or other environmentally sensitive areas; and</w:t>
      </w:r>
    </w:p>
    <w:p>
      <w:pPr>
        <w:spacing w:after="0" w:line="32" w:lineRule="exact"/>
        <w:rPr>
          <w:rFonts w:ascii="Arial" w:cs="Arial" w:eastAsia="Arial" w:hAnsi="Arial"/>
          <w:sz w:val="16"/>
          <w:szCs w:val="16"/>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assessment of environmental impacts.</w:t>
      </w:r>
    </w:p>
    <w:p>
      <w:pPr>
        <w:spacing w:after="0" w:line="211" w:lineRule="exact"/>
        <w:rPr>
          <w:sz w:val="20"/>
          <w:szCs w:val="20"/>
          <w:color w:val="auto"/>
        </w:rPr>
      </w:pPr>
    </w:p>
    <w:p>
      <w:pPr>
        <w:ind w:left="60" w:right="79"/>
        <w:spacing w:after="0" w:line="272" w:lineRule="auto"/>
        <w:rPr>
          <w:sz w:val="20"/>
          <w:szCs w:val="20"/>
          <w:color w:val="auto"/>
        </w:rPr>
      </w:pPr>
      <w:r>
        <w:rPr>
          <w:rFonts w:ascii="Arial" w:cs="Arial" w:eastAsia="Arial" w:hAnsi="Arial"/>
          <w:sz w:val="17"/>
          <w:szCs w:val="17"/>
          <w:color w:val="auto"/>
        </w:rPr>
        <w:t>Failure to comply with such requirements may result in a variety of sanctions, including fines, administrative orders and injunctions. In addition, issuing authorities may revoke, adversely condition or deny permits necessary for our operations. In the opinion of management, our properties are in substantial compliance with applicable environmental laws and regulations, and we have no material commitments for capital expenditures to comply with existing environmental requirements. Nevertheless, changes in existing environmental laws and regulations or in interpretations thereof could have a significant impact on our company, as well as the oil and natural gas industry in general. Significant environmental requirements that may affect our operations are described below.</w:t>
      </w:r>
    </w:p>
    <w:p>
      <w:pPr>
        <w:spacing w:after="0" w:line="177" w:lineRule="exact"/>
        <w:rPr>
          <w:sz w:val="20"/>
          <w:szCs w:val="20"/>
          <w:color w:val="auto"/>
        </w:rPr>
      </w:pPr>
    </w:p>
    <w:p>
      <w:pPr>
        <w:ind w:left="60" w:right="119"/>
        <w:spacing w:after="0" w:line="286" w:lineRule="auto"/>
        <w:rPr>
          <w:sz w:val="20"/>
          <w:szCs w:val="20"/>
          <w:color w:val="auto"/>
        </w:rPr>
      </w:pPr>
      <w:r>
        <w:rPr>
          <w:rFonts w:ascii="Arial" w:cs="Arial" w:eastAsia="Arial" w:hAnsi="Arial"/>
          <w:sz w:val="16"/>
          <w:szCs w:val="16"/>
          <w:color w:val="auto"/>
        </w:rPr>
        <w:t>The Comprehensive Environmental, Response, Compensation, and Liability Act (“CERCLA”) and comparable state statutes impose strict liability, and in some cases joint and several liability, on owners and operators of sites and on persons who arranged for the disposal of “hazardous substances” found at such sites. It is not uncommon for neighboring landowners or other third parties to also file claims for personal injury and property damage allegedly caused by any hazardous substances released into the environment. Although CERCLA currently excludes petroleum from its definition of “hazardous substance,” our operations do entail handling other chemicals that may be subject to the statute. In addition, state laws affecting our properties may impose cleanup liability relating to petroleum and petroleum related products. The Federal Resource Conservation and Recovery Act (“RCRA”) and comparable state statutes govern the disposal of “solid waste” and “hazardous waste.” Violations may result in substantial fines. Although RCRA currently classifies certain oil field wastes as “non-hazardous,” such exploration and production wastes could be reclassified as hazardous, thereby subjecting our operations to more stringent handling and disposal requirements. In some circumstances, moreover, RCRA authorizes both the federal government and private persons to seek injunctions requiring the cleanup of wastes, whether hazardous or non-hazardous.</w:t>
      </w:r>
    </w:p>
    <w:p>
      <w:pPr>
        <w:spacing w:after="0" w:line="174" w:lineRule="exact"/>
        <w:rPr>
          <w:sz w:val="20"/>
          <w:szCs w:val="20"/>
          <w:color w:val="auto"/>
        </w:rPr>
      </w:pPr>
    </w:p>
    <w:p>
      <w:pPr>
        <w:ind w:left="60" w:right="139"/>
        <w:spacing w:after="0" w:line="254" w:lineRule="auto"/>
        <w:rPr>
          <w:sz w:val="20"/>
          <w:szCs w:val="20"/>
          <w:color w:val="auto"/>
        </w:rPr>
      </w:pPr>
      <w:r>
        <w:rPr>
          <w:rFonts w:ascii="Arial" w:cs="Arial" w:eastAsia="Arial" w:hAnsi="Arial"/>
          <w:sz w:val="18"/>
          <w:szCs w:val="18"/>
          <w:color w:val="auto"/>
        </w:rPr>
        <w:t>The Endangered Species Act (“ESA”) protects fish, wildlife and plants that are listed as threatened or endangered. Under the ESA, exploration and production operations may not significantly impair or jeopardize a protected species or its habitat. The ESA provides for criminal penalties for willful violations. Our operations also may be subject to other statutes that protect animals and plants such as the Migratory Bird Treaty Act. Although we believe that our properties are in compliance with such statutes, any change in these statutes or any reclassification of a species as endangered could subject our company (directly or indirectly through our third-party operators) to significant expenses to modify operations, could force discontinuation of certain operations altogether and could limit the locations our third-party operators may utilize in the future.</w:t>
      </w:r>
    </w:p>
    <w:p>
      <w:pPr>
        <w:spacing w:after="0" w:line="192"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The Clean Air Act (“CAA”) is the comprehensive federal law addressing sources of air emissions. Oil and natural gas production and natural gas processing operations are among the many source categories subject to the CAA. Regulated emissions from oil and natural gas operations include sulfur dioxide, volatile organic compounds (“VOCs”) and hazardous air pollutants such as benzene, among others.</w:t>
      </w:r>
    </w:p>
    <w:p>
      <w:pPr>
        <w:spacing w:after="0" w:line="187" w:lineRule="exact"/>
        <w:rPr>
          <w:sz w:val="20"/>
          <w:szCs w:val="20"/>
          <w:color w:val="auto"/>
        </w:rPr>
      </w:pPr>
    </w:p>
    <w:p>
      <w:pPr>
        <w:ind w:left="60" w:right="99"/>
        <w:spacing w:after="0" w:line="272" w:lineRule="auto"/>
        <w:rPr>
          <w:sz w:val="20"/>
          <w:szCs w:val="20"/>
          <w:color w:val="auto"/>
        </w:rPr>
      </w:pPr>
      <w:r>
        <w:rPr>
          <w:rFonts w:ascii="Arial" w:cs="Arial" w:eastAsia="Arial" w:hAnsi="Arial"/>
          <w:sz w:val="17"/>
          <w:szCs w:val="17"/>
          <w:color w:val="auto"/>
        </w:rPr>
        <w:t>In particular, the Environmental Protection Agency (“EPA”) issued proposed CAA regulations in November 2021, which it strengthened and expanded in November 2022, that would impose more comprehensive restrictions on emissions of methane (a greenhouse gas) and VOCs from new, existing and modified facilities in the oil and gas sector. Among other things, EPA’s proposed new rule would require states to implement plans that meet or exceed established emission reduction guidelines for oil and natural gas facilities. These regulations and proposals and any other new regulations requiring the installation of more sophisticated pollution control equipment could have a material adverse impact on our business, results of operations and financial condition.</w:t>
      </w:r>
    </w:p>
    <w:p>
      <w:pPr>
        <w:spacing w:after="0" w:line="177" w:lineRule="exact"/>
        <w:rPr>
          <w:sz w:val="20"/>
          <w:szCs w:val="20"/>
          <w:color w:val="auto"/>
        </w:rPr>
      </w:pPr>
    </w:p>
    <w:p>
      <w:pPr>
        <w:ind w:left="60" w:right="559"/>
        <w:spacing w:after="0" w:line="259" w:lineRule="auto"/>
        <w:rPr>
          <w:sz w:val="20"/>
          <w:szCs w:val="20"/>
          <w:color w:val="auto"/>
        </w:rPr>
      </w:pPr>
      <w:r>
        <w:rPr>
          <w:rFonts w:ascii="Arial" w:cs="Arial" w:eastAsia="Arial" w:hAnsi="Arial"/>
          <w:sz w:val="18"/>
          <w:szCs w:val="18"/>
          <w:color w:val="auto"/>
        </w:rPr>
        <w:t>The Clean Water Act (the “CWA”) is the primary federal law controlling the discharge of produced waters and other pollutants into waters of the United States. Permits must be obtained for such discharges and to conduct construction activities in waters and wetlands. Some states also require permits for discharges or operations that may impact groundwater.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The CAA, CWA and comparable state statutes authorize civil, criminal and administrative penalties for violations. Further, the CWA and Oil Pollution Act may impose liability on owners or operators of onshore facilities that impact surface waters.</w:t>
      </w:r>
    </w:p>
    <w:p>
      <w:pPr>
        <w:spacing w:after="0" w:line="184" w:lineRule="exact"/>
        <w:rPr>
          <w:sz w:val="20"/>
          <w:szCs w:val="20"/>
          <w:color w:val="auto"/>
        </w:rPr>
      </w:pPr>
    </w:p>
    <w:p>
      <w:pPr>
        <w:ind w:left="60" w:right="79"/>
        <w:spacing w:after="0" w:line="291" w:lineRule="auto"/>
        <w:rPr>
          <w:sz w:val="20"/>
          <w:szCs w:val="20"/>
          <w:color w:val="auto"/>
        </w:rPr>
      </w:pPr>
      <w:r>
        <w:rPr>
          <w:rFonts w:ascii="Arial" w:cs="Arial" w:eastAsia="Arial" w:hAnsi="Arial"/>
          <w:sz w:val="16"/>
          <w:szCs w:val="16"/>
          <w:color w:val="auto"/>
        </w:rPr>
        <w:t>Pursuant to the Safe Drinking Water Act, EPA (or an authorized state) regulates the construction, operation, permitting, and closure of injection wells used to place oil and natural gas wastes and other fluids underground for enhanced hydrocarbon recovery, storage or disposal. The primary objective of injection well operating requirements is to ensure the mechanical integrity of the injection apparatus and to prevent migration of fluids from the injection zone into underground sources of drinking water. Underground injection associated with oil and gas operations, particularly the disposal of produced water, has been linked in some cases to localized earthquakes. This in turn has led to new legislative and regulatory initiatives, which have the potential to restrict injection in certain wells or limit operations in certain areas.</w:t>
      </w:r>
    </w:p>
    <w:p>
      <w:pPr>
        <w:spacing w:after="0" w:line="166" w:lineRule="exact"/>
        <w:rPr>
          <w:sz w:val="20"/>
          <w:szCs w:val="20"/>
          <w:color w:val="auto"/>
        </w:rPr>
      </w:pPr>
    </w:p>
    <w:p>
      <w:pPr>
        <w:ind w:left="60" w:right="299"/>
        <w:spacing w:after="0" w:line="255" w:lineRule="auto"/>
        <w:rPr>
          <w:sz w:val="20"/>
          <w:szCs w:val="20"/>
          <w:color w:val="auto"/>
        </w:rPr>
      </w:pPr>
      <w:r>
        <w:rPr>
          <w:rFonts w:ascii="Arial" w:cs="Arial" w:eastAsia="Arial" w:hAnsi="Arial"/>
          <w:sz w:val="18"/>
          <w:szCs w:val="18"/>
          <w:color w:val="auto"/>
        </w:rPr>
        <w:t>Certain of the oil and natural gas production in which we have an interest is developed from unconventional sources that require hydraulic fracturing as part of the completion process. Hydraulic fracturing involves the injection into the formation of water, sand and chemicals under pressure to stimulate production. From time to time, legislation has been proposed in the United States Congress to repeal the Safe Drinking Water Act’s exemption for hydraulic fracturing from the definition of “underground injection” and to require federal permitting of hydraulic fracturing. If ever enacted, such legislation would add to costs for hydraulic fracturing.</w:t>
      </w:r>
    </w:p>
    <w:p>
      <w:pPr>
        <w:spacing w:after="0" w:line="192"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color w:val="auto"/>
        </w:rPr>
        <w:t>Scrutiny of hydraulic fracturing activities continues in other ways. Several states where our properties are located have proposed or adopted legislative or regulatory restrictions on hydraulic fracturing. A number of municipalities likewise have enacted bans on hydraulic fracturing. We cannot predict whether any other legislation restricting hydraulic fracturing will be enacted and if so, what its provisions would be. If additional levels of regulation and permits were to be required through the adoption of new laws and regulations at the federal, state or local level, it could lead to delays, increased operating costs and process prohibitions that could materially adversely affect our revenue and results of operations.</w:t>
      </w:r>
    </w:p>
    <w:p>
      <w:pPr>
        <w:spacing w:after="0" w:line="164" w:lineRule="exact"/>
        <w:rPr>
          <w:sz w:val="20"/>
          <w:szCs w:val="20"/>
          <w:color w:val="auto"/>
        </w:rPr>
      </w:pPr>
    </w:p>
    <w:p>
      <w:pPr>
        <w:ind w:left="60" w:right="79"/>
        <w:spacing w:after="0" w:line="290" w:lineRule="auto"/>
        <w:rPr>
          <w:sz w:val="20"/>
          <w:szCs w:val="20"/>
          <w:color w:val="auto"/>
        </w:rPr>
      </w:pPr>
      <w:r>
        <w:rPr>
          <w:rFonts w:ascii="Arial" w:cs="Arial" w:eastAsia="Arial" w:hAnsi="Arial"/>
          <w:sz w:val="16"/>
          <w:szCs w:val="16"/>
          <w:color w:val="auto"/>
        </w:rPr>
        <w:t>The National Environmental Policy Act (“NEPA”) requires federal agencies to assess the environmental effects of their proposed actions prior to making decisions. Among the broad range of actions covered by NEPA are decisions on permit applications and federal land management. Many of the activities of our third-party operators involve federal decisions subject to NEPA. Such federal actions may trigger robust NEPA review, which could lead to delays and increased costs that could materially adversely affect our revenues and results of operations. In 2022, moreover, the Biden Administration reversed changes to NEPA rules enacted under the Trump Administration that had been intended to streamline NEPA review. The revised regulations lay the foundation for additional scrutiny of impacts on climate change, which could affect the assessment of projects ranging from oil and gas leasing to development on public and Indian lands.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Climate Change</w:t>
      </w:r>
    </w:p>
    <w:p>
      <w:pPr>
        <w:spacing w:after="0" w:line="225" w:lineRule="exact"/>
        <w:rPr>
          <w:sz w:val="20"/>
          <w:szCs w:val="20"/>
          <w:color w:val="auto"/>
        </w:rPr>
      </w:pPr>
    </w:p>
    <w:p>
      <w:pPr>
        <w:ind w:left="60" w:right="259"/>
        <w:spacing w:after="0" w:line="263" w:lineRule="auto"/>
        <w:rPr>
          <w:sz w:val="20"/>
          <w:szCs w:val="20"/>
          <w:color w:val="auto"/>
        </w:rPr>
      </w:pPr>
      <w:r>
        <w:rPr>
          <w:rFonts w:ascii="Arial" w:cs="Arial" w:eastAsia="Arial" w:hAnsi="Arial"/>
          <w:sz w:val="18"/>
          <w:szCs w:val="18"/>
          <w:color w:val="auto"/>
        </w:rPr>
        <w:t>Climate change has become a major public concern and policy issue in the United States and around the world. Much of the debate has focused on greenhouse gas (“GHG”) emissions from oil and natural gas, particularly carbon dioxide and methane.</w:t>
      </w:r>
    </w:p>
    <w:p>
      <w:pPr>
        <w:spacing w:after="0" w:line="184" w:lineRule="exact"/>
        <w:rPr>
          <w:sz w:val="20"/>
          <w:szCs w:val="20"/>
          <w:color w:val="auto"/>
        </w:rPr>
      </w:pPr>
    </w:p>
    <w:p>
      <w:pPr>
        <w:ind w:left="60" w:right="159"/>
        <w:spacing w:after="0" w:line="289" w:lineRule="auto"/>
        <w:rPr>
          <w:sz w:val="20"/>
          <w:szCs w:val="20"/>
          <w:color w:val="auto"/>
        </w:rPr>
      </w:pPr>
      <w:r>
        <w:rPr>
          <w:rFonts w:ascii="Arial" w:cs="Arial" w:eastAsia="Arial" w:hAnsi="Arial"/>
          <w:sz w:val="16"/>
          <w:szCs w:val="16"/>
          <w:color w:val="auto"/>
        </w:rPr>
        <w:t>In the United States, there is no comprehensive federal regulatory statute addressing climate change, although Congress does periodically consider such measures. At the federal level, the United States therefore has primarily addressed climate change through executive actions and regulatory initiatives pursuant to existing statutes. These include rejoining the Paris Agreement on climate change, the Biden Administration’s commitment to cut greenhouse gas emissions by 2030 to 50-52 percent of 2005 levels, various executive orders, limiting land available for oil and gas leasing, the United States Methane Emissions Reduction Action Plan (intended to reduce overall methane emissions by 30% below 2020 levels by 2030), and Clean Air Act rules (such as the November 2021 proposal to regulate methane from the oil and gas sector). In addition, several states have already implemented or are considering programs to reduce GHG emissions. These include cap and trade programs, promotion of alternative forms of energy, transportation standards and restrictions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79"/>
        <w:spacing w:after="0" w:line="277" w:lineRule="auto"/>
        <w:rPr>
          <w:sz w:val="20"/>
          <w:szCs w:val="20"/>
          <w:color w:val="auto"/>
        </w:rPr>
      </w:pPr>
      <w:r>
        <w:rPr>
          <w:rFonts w:ascii="Arial" w:cs="Arial" w:eastAsia="Arial" w:hAnsi="Arial"/>
          <w:sz w:val="18"/>
          <w:szCs w:val="18"/>
          <w:color w:val="auto"/>
        </w:rPr>
        <w:t>on particular GHGs. To the extent that new climate change measures are adopted, and our third-party operators must further control GHG emissions, our business may be adversely impacted.</w:t>
      </w:r>
    </w:p>
    <w:p>
      <w:pPr>
        <w:spacing w:after="0" w:line="170" w:lineRule="exact"/>
        <w:rPr>
          <w:sz w:val="20"/>
          <w:szCs w:val="20"/>
          <w:color w:val="auto"/>
        </w:rPr>
      </w:pPr>
    </w:p>
    <w:p>
      <w:pPr>
        <w:ind w:left="60" w:right="399"/>
        <w:spacing w:after="0" w:line="342" w:lineRule="auto"/>
        <w:rPr>
          <w:sz w:val="20"/>
          <w:szCs w:val="20"/>
          <w:color w:val="auto"/>
        </w:rPr>
      </w:pPr>
      <w:r>
        <w:rPr>
          <w:rFonts w:ascii="Arial" w:cs="Arial" w:eastAsia="Arial" w:hAnsi="Arial"/>
          <w:sz w:val="16"/>
          <w:szCs w:val="16"/>
          <w:color w:val="auto"/>
        </w:rPr>
        <w:t>In addition, recent court decisions have left open the question of whether tort claims alleging property damage may proceed against sources of GHG emissions under state common law. Thus, there is some litigation risk for such claims.</w:t>
      </w:r>
    </w:p>
    <w:p>
      <w:pPr>
        <w:spacing w:after="0" w:line="124" w:lineRule="exact"/>
        <w:rPr>
          <w:sz w:val="20"/>
          <w:szCs w:val="20"/>
          <w:color w:val="auto"/>
        </w:rPr>
      </w:pPr>
    </w:p>
    <w:p>
      <w:pPr>
        <w:ind w:left="60" w:right="179"/>
        <w:spacing w:after="0" w:line="270" w:lineRule="auto"/>
        <w:rPr>
          <w:sz w:val="20"/>
          <w:szCs w:val="20"/>
          <w:color w:val="auto"/>
        </w:rPr>
      </w:pPr>
      <w:r>
        <w:rPr>
          <w:rFonts w:ascii="Arial" w:cs="Arial" w:eastAsia="Arial" w:hAnsi="Arial"/>
          <w:sz w:val="17"/>
          <w:szCs w:val="17"/>
          <w:color w:val="auto"/>
        </w:rPr>
        <w:t>Legislation or regulations that may be adopted to address climate change could also affect the markets for our products by making our products more or less desirable than competing sources of energy. To the extent that our products are competing with higher GHG emitting energy sources, for example, our products would become more desirable in the market with more stringent limitations on GHG emissions. But in 2022, the United States enacted the Inflation Reduction Act that, among other things, creates a series of financial incentives intended to discourage use of oil and natural gas (including imposing a fee on methane emissions) and to promote alternative sources of energy. To the extent that our products are competing with lower GHG emitting energy sources such as solar and wind, our products may become less desirable in the market with such government intervention. We cannot predict with any certainty at this time how these possibilities may affect our operations.</w:t>
      </w:r>
    </w:p>
    <w:p>
      <w:pPr>
        <w:spacing w:after="0" w:line="181" w:lineRule="exact"/>
        <w:rPr>
          <w:sz w:val="20"/>
          <w:szCs w:val="20"/>
          <w:color w:val="auto"/>
        </w:rPr>
      </w:pPr>
    </w:p>
    <w:p>
      <w:pPr>
        <w:jc w:val="both"/>
        <w:ind w:left="60" w:right="219"/>
        <w:spacing w:after="0" w:line="287" w:lineRule="auto"/>
        <w:rPr>
          <w:sz w:val="20"/>
          <w:szCs w:val="20"/>
          <w:color w:val="auto"/>
        </w:rPr>
      </w:pPr>
      <w:r>
        <w:rPr>
          <w:rFonts w:ascii="Arial" w:cs="Arial" w:eastAsia="Arial" w:hAnsi="Arial"/>
          <w:sz w:val="16"/>
          <w:szCs w:val="16"/>
          <w:color w:val="auto"/>
        </w:rPr>
        <w:t>Various studies on climate change indicate that extreme weather conditions and other risks may occur in the future in the areas where we operate. Although we have not experienced any material impact from such extreme conditions to date, no assurance can be given that they will not have a material adverse effect on our business in the future.</w:t>
      </w:r>
    </w:p>
    <w:p>
      <w:pPr>
        <w:spacing w:after="0" w:line="2" w:lineRule="exact"/>
        <w:rPr>
          <w:sz w:val="20"/>
          <w:szCs w:val="20"/>
          <w:color w:val="auto"/>
        </w:rPr>
      </w:pPr>
    </w:p>
    <w:p>
      <w:pPr>
        <w:ind w:left="60" w:right="79"/>
        <w:spacing w:after="0" w:line="260" w:lineRule="auto"/>
        <w:rPr>
          <w:sz w:val="20"/>
          <w:szCs w:val="20"/>
          <w:color w:val="auto"/>
        </w:rPr>
      </w:pPr>
      <w:r>
        <w:rPr>
          <w:rFonts w:ascii="Arial" w:cs="Arial" w:eastAsia="Arial" w:hAnsi="Arial"/>
          <w:sz w:val="18"/>
          <w:szCs w:val="18"/>
          <w:color w:val="auto"/>
        </w:rPr>
        <w:t xml:space="preserve">See discussion captioned “Government regulation and liability for oil and natural gas operations and environmental matters may adversely affect our business and results of operations” in Item 1A.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Insurance</w:t>
      </w:r>
    </w:p>
    <w:p>
      <w:pPr>
        <w:spacing w:after="0" w:line="229" w:lineRule="exact"/>
        <w:rPr>
          <w:sz w:val="20"/>
          <w:szCs w:val="20"/>
          <w:color w:val="auto"/>
        </w:rPr>
      </w:pPr>
    </w:p>
    <w:p>
      <w:pPr>
        <w:ind w:left="60" w:right="99"/>
        <w:spacing w:after="0" w:line="301" w:lineRule="auto"/>
        <w:rPr>
          <w:sz w:val="20"/>
          <w:szCs w:val="20"/>
          <w:color w:val="auto"/>
        </w:rPr>
      </w:pPr>
      <w:r>
        <w:rPr>
          <w:rFonts w:ascii="Arial" w:cs="Arial" w:eastAsia="Arial" w:hAnsi="Arial"/>
          <w:sz w:val="16"/>
          <w:szCs w:val="16"/>
          <w:color w:val="auto"/>
        </w:rPr>
        <w:t>We maintain insurance on our oil and natural gas properties and operations for risks and in amounts customary in the industry. Such insurance includes, but is not limited to, general liability, excess liability, control of well, operators extra expense, casualty, fraud, and directors and officer’s liability coverage. Not all losses are insured, and we retain certain risks of loss through deductibles, limits, and self-retentions. We do not carry business interruption or lost profits coverage.</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Human Capital, Sustainability, and ESG</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ind w:left="60" w:right="159"/>
        <w:spacing w:after="0" w:line="290" w:lineRule="auto"/>
        <w:rPr>
          <w:sz w:val="20"/>
          <w:szCs w:val="20"/>
          <w:color w:val="auto"/>
        </w:rPr>
      </w:pPr>
      <w:r>
        <w:rPr>
          <w:rFonts w:ascii="Arial" w:cs="Arial" w:eastAsia="Arial" w:hAnsi="Arial"/>
          <w:sz w:val="16"/>
          <w:szCs w:val="16"/>
          <w:color w:val="auto"/>
        </w:rPr>
        <w:t>As of June 30, 2023, we had eleven full-time employees, not including contract personnel and outsourced service providers. Due to our current focus on non-operating properties, our staff is disproportionately weighted towards higher wage professionals. We believe that we have positive relations with our employees. Our team is broadly experienced in oil and natural gas operations, development, acquisitions, and financing. We follow a strategy of outsourcing most of our property accounting, human resources, administrative, and other non-core functions. For our full-time employees, our benefits package, as determined by our Board of Directors, includes medical, dental, and vision insurance, short-term disability, 401(k) contributions based on a portion of the employee’s base salary, short and long-term performance-based and service-based incentive pay (i.e., annual bonuses and stock awards), and paid time off.</w:t>
      </w:r>
    </w:p>
    <w:p>
      <w:pPr>
        <w:spacing w:after="0" w:line="165"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color w:val="auto"/>
        </w:rPr>
        <w:t>Our workforce is provided with annual training and is expected to sign an acknowledgement regarding our policies and disclosures which include, but are not limited to, the Corporate Sustainability Report (“CSR”), employee handbook, human rights, code of ethics, health and safety, emergency procedures, conflicts of interest, insider trading, bribery, kickbacks, discrimination, diversity, equality, and inclusion.</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Sustainability and ESG</w:t>
      </w:r>
    </w:p>
    <w:p>
      <w:pPr>
        <w:spacing w:after="0" w:line="225" w:lineRule="exact"/>
        <w:rPr>
          <w:sz w:val="20"/>
          <w:szCs w:val="20"/>
          <w:color w:val="auto"/>
        </w:rPr>
      </w:pPr>
    </w:p>
    <w:p>
      <w:pPr>
        <w:ind w:left="60" w:right="99"/>
        <w:spacing w:after="0" w:line="311" w:lineRule="auto"/>
        <w:rPr>
          <w:sz w:val="20"/>
          <w:szCs w:val="20"/>
          <w:color w:val="auto"/>
        </w:rPr>
      </w:pPr>
      <w:r>
        <w:rPr>
          <w:rFonts w:ascii="Arial" w:cs="Arial" w:eastAsia="Arial" w:hAnsi="Arial"/>
          <w:sz w:val="16"/>
          <w:szCs w:val="16"/>
          <w:color w:val="auto"/>
        </w:rPr>
        <w:t>In fiscal year 2023, we formed a Sustainability Committee which is responsible for overseeing our Environmental Social Governance (“ESG”) initiatives. In fiscal year 2021-2022, under the supervision of our Board of Directors, the Nominating and Corporate Governance committee, and senior management, the foundation of our sustainability efforts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spacing w:after="0" w:line="277" w:lineRule="auto"/>
        <w:rPr>
          <w:sz w:val="20"/>
          <w:szCs w:val="20"/>
          <w:color w:val="auto"/>
        </w:rPr>
      </w:pPr>
      <w:r>
        <w:rPr>
          <w:rFonts w:ascii="Arial" w:cs="Arial" w:eastAsia="Arial" w:hAnsi="Arial"/>
          <w:sz w:val="18"/>
          <w:szCs w:val="18"/>
          <w:color w:val="auto"/>
        </w:rPr>
        <w:t>and CSR were led by an ESG Task Force. Evolution’s most recent CSR was published in October 2022. This report is accessible on our website at www.evolutionpetroleum.com.</w:t>
      </w:r>
    </w:p>
    <w:p>
      <w:pPr>
        <w:spacing w:after="0" w:line="170"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color w:val="auto"/>
        </w:rPr>
        <w:t>The ESG Task Force formalized our existing ESG programs, proposed and implemented new ESG initiatives, monitored adherence to our internal and third-party sustainability standards, and provided public disclosures for our stakeholders. Each year, we continue to disclose, enhance, implement, and provide training for a number of new and existing policies and procedures. These include, but are not limited to: implementing a charitable donation program and employee volunteer initiative, an annual company-wide ESG training program for both the Board of Directors and our workforce, implementation of safety inspections and health and safety coordinators, and incorporating ESG considerations into our compensation structure.</w:t>
      </w:r>
    </w:p>
    <w:p>
      <w:pPr>
        <w:spacing w:after="0" w:line="195" w:lineRule="exact"/>
        <w:rPr>
          <w:sz w:val="20"/>
          <w:szCs w:val="20"/>
          <w:color w:val="auto"/>
        </w:rPr>
      </w:pPr>
    </w:p>
    <w:p>
      <w:pPr>
        <w:ind w:left="60" w:right="79"/>
        <w:spacing w:after="0" w:line="291" w:lineRule="auto"/>
        <w:rPr>
          <w:sz w:val="20"/>
          <w:szCs w:val="20"/>
          <w:color w:val="auto"/>
        </w:rPr>
      </w:pPr>
      <w:r>
        <w:rPr>
          <w:rFonts w:ascii="Arial" w:cs="Arial" w:eastAsia="Arial" w:hAnsi="Arial"/>
          <w:sz w:val="16"/>
          <w:szCs w:val="16"/>
          <w:color w:val="auto"/>
        </w:rPr>
        <w:t>We are committed to high standards of conduct and ethics in order to contribute to the sustainability of our business. Our core values are the base to support our strategy and long-term success. We believe integrity is paramount and we are committed to developing and producing energy resources in environmentally, socially, and ethically respectful and responsible ways. Our people are critical to our success and as such we promote and maintain a safe and inclusive work environment. We strategically plan for the long-term and strive to maintain capital discipline, stakeholder transparency, and continuous focus on returning capital to shareholders. We work with third-party operators that share our desire to operate and work responsibly, particularly for the natural environments in which they operate.</w:t>
      </w:r>
    </w:p>
    <w:p>
      <w:pPr>
        <w:spacing w:after="0" w:line="166" w:lineRule="exact"/>
        <w:rPr>
          <w:sz w:val="20"/>
          <w:szCs w:val="20"/>
          <w:color w:val="auto"/>
        </w:rPr>
      </w:pPr>
    </w:p>
    <w:p>
      <w:pPr>
        <w:ind w:left="60" w:right="79"/>
        <w:spacing w:after="0" w:line="207" w:lineRule="auto"/>
        <w:rPr>
          <w:sz w:val="20"/>
          <w:szCs w:val="20"/>
          <w:color w:val="auto"/>
        </w:rPr>
      </w:pPr>
      <w:r>
        <w:rPr>
          <w:rFonts w:ascii="Arial" w:cs="Arial" w:eastAsia="Arial" w:hAnsi="Arial"/>
          <w:sz w:val="17"/>
          <w:szCs w:val="17"/>
          <w:color w:val="auto"/>
        </w:rPr>
        <w:t>Denbury Inc., the operator of our Delhi Field property, is an industry leader in Carbon Capture, Utilization and Storage with a network of CO</w:t>
      </w:r>
      <w:r>
        <w:rPr>
          <w:rFonts w:ascii="Arial" w:cs="Arial" w:eastAsia="Arial" w:hAnsi="Arial"/>
          <w:sz w:val="25"/>
          <w:szCs w:val="25"/>
          <w:color w:val="auto"/>
          <w:vertAlign w:val="subscript"/>
        </w:rPr>
        <w:t>2</w:t>
      </w:r>
      <w:r>
        <w:rPr>
          <w:rFonts w:ascii="Arial" w:cs="Arial" w:eastAsia="Arial" w:hAnsi="Arial"/>
          <w:sz w:val="17"/>
          <w:szCs w:val="17"/>
          <w:color w:val="auto"/>
        </w:rPr>
        <w:t xml:space="preserve"> EOR operations and the United States’ largest operated system of CO</w:t>
      </w:r>
      <w:r>
        <w:rPr>
          <w:rFonts w:ascii="Arial" w:cs="Arial" w:eastAsia="Arial" w:hAnsi="Arial"/>
          <w:sz w:val="25"/>
          <w:szCs w:val="25"/>
          <w:color w:val="auto"/>
          <w:vertAlign w:val="subscript"/>
        </w:rPr>
        <w:t>2</w:t>
      </w:r>
      <w:r>
        <w:rPr>
          <w:rFonts w:ascii="Arial" w:cs="Arial" w:eastAsia="Arial" w:hAnsi="Arial"/>
          <w:sz w:val="17"/>
          <w:szCs w:val="17"/>
          <w:color w:val="auto"/>
        </w:rPr>
        <w:t xml:space="preserve"> transmission pipelines. As of year-end 2022, Denbury reportedly injects over three million tons of captured industrial-sourced CO</w:t>
      </w:r>
      <w:r>
        <w:rPr>
          <w:rFonts w:ascii="Arial" w:cs="Arial" w:eastAsia="Arial" w:hAnsi="Arial"/>
          <w:sz w:val="25"/>
          <w:szCs w:val="25"/>
          <w:color w:val="auto"/>
          <w:vertAlign w:val="subscript"/>
        </w:rPr>
        <w:t>2</w:t>
      </w:r>
      <w:r>
        <w:rPr>
          <w:rFonts w:ascii="Arial" w:cs="Arial" w:eastAsia="Arial" w:hAnsi="Arial"/>
          <w:sz w:val="17"/>
          <w:szCs w:val="17"/>
          <w:color w:val="auto"/>
        </w:rPr>
        <w:t xml:space="preserve"> annually, and has a goal to reach Net Zero for Scope 1, Scope 2 and Scope 3 CO</w:t>
      </w:r>
      <w:r>
        <w:rPr>
          <w:rFonts w:ascii="Arial" w:cs="Arial" w:eastAsia="Arial" w:hAnsi="Arial"/>
          <w:sz w:val="25"/>
          <w:szCs w:val="25"/>
          <w:color w:val="auto"/>
          <w:vertAlign w:val="subscript"/>
        </w:rPr>
        <w:t>2</w:t>
      </w:r>
      <w:r>
        <w:rPr>
          <w:rFonts w:ascii="Arial" w:cs="Arial" w:eastAsia="Arial" w:hAnsi="Arial"/>
          <w:sz w:val="17"/>
          <w:szCs w:val="17"/>
          <w:color w:val="auto"/>
        </w:rPr>
        <w:t xml:space="preserve"> emissions by 2030, primarily through increasing the amount of captured industrial-sourced CO</w:t>
      </w:r>
      <w:r>
        <w:rPr>
          <w:rFonts w:ascii="Arial" w:cs="Arial" w:eastAsia="Arial" w:hAnsi="Arial"/>
          <w:sz w:val="25"/>
          <w:szCs w:val="25"/>
          <w:color w:val="auto"/>
          <w:vertAlign w:val="subscript"/>
        </w:rPr>
        <w:t>2</w:t>
      </w:r>
      <w:r>
        <w:rPr>
          <w:rFonts w:ascii="Arial" w:cs="Arial" w:eastAsia="Arial" w:hAnsi="Arial"/>
          <w:sz w:val="17"/>
          <w:szCs w:val="17"/>
          <w:color w:val="auto"/>
        </w:rPr>
        <w:t xml:space="preserve"> used in their operations.</w:t>
      </w:r>
    </w:p>
    <w:p>
      <w:pPr>
        <w:spacing w:after="0" w:line="190"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color w:val="auto"/>
        </w:rPr>
        <w:t>Jonah Energy, the operator of our Jonah Field property, is one of the leading sustainable natural gas producers in the U.S. In 2021, Jonah was the first and only U.S. company to achieve the Gold Standard Rating, announced by the United Nations Environment Programme International Methane Emissions Observatory.</w:t>
      </w:r>
    </w:p>
    <w:p>
      <w:pPr>
        <w:spacing w:after="0" w:line="184" w:lineRule="exact"/>
        <w:rPr>
          <w:sz w:val="20"/>
          <w:szCs w:val="20"/>
          <w:color w:val="auto"/>
        </w:rPr>
      </w:pPr>
    </w:p>
    <w:p>
      <w:pPr>
        <w:ind w:left="60" w:right="59"/>
        <w:spacing w:after="0" w:line="255" w:lineRule="auto"/>
        <w:rPr>
          <w:sz w:val="20"/>
          <w:szCs w:val="20"/>
          <w:color w:val="auto"/>
        </w:rPr>
      </w:pPr>
      <w:r>
        <w:rPr>
          <w:rFonts w:ascii="Arial" w:cs="Arial" w:eastAsia="Arial" w:hAnsi="Arial"/>
          <w:sz w:val="18"/>
          <w:szCs w:val="18"/>
          <w:color w:val="auto"/>
        </w:rPr>
        <w:t>As a non-operator of our current properties, we do not have direct control over environmental initiatives at a property-level. However, we believe it is important to partner with third-party operators that share our core values and are committed to being environmental stewards as they responsibly produce energy resources. We recognize that the expectations, requirements, and responsibilities of operators regarding safeguarding the environment and environmental stewardship continue to evolve. We are, and will continue to be, committed to supporting our third-party operators as they respond to these expectations, requirements, and responsibilities.</w:t>
      </w:r>
    </w:p>
    <w:p>
      <w:pPr>
        <w:spacing w:after="0" w:line="192" w:lineRule="exact"/>
        <w:rPr>
          <w:sz w:val="20"/>
          <w:szCs w:val="20"/>
          <w:color w:val="auto"/>
        </w:rPr>
      </w:pPr>
    </w:p>
    <w:p>
      <w:pPr>
        <w:ind w:left="60" w:right="319"/>
        <w:spacing w:after="0" w:line="259" w:lineRule="auto"/>
        <w:rPr>
          <w:sz w:val="20"/>
          <w:szCs w:val="20"/>
          <w:color w:val="auto"/>
        </w:rPr>
      </w:pPr>
      <w:r>
        <w:rPr>
          <w:rFonts w:ascii="Arial" w:cs="Arial" w:eastAsia="Arial" w:hAnsi="Arial"/>
          <w:sz w:val="18"/>
          <w:szCs w:val="18"/>
          <w:color w:val="auto"/>
        </w:rPr>
        <w:t>In fiscal year 2023, we implemented our first annual voluntary Environmental Operator Questionnaire to collect various environmental metrics on behalf of our third-party operators. In addition, we host regular operations meetings with our third-party operators in which we discuss asset level operations, expenses, any environmental issues and compliance, including ESG and health and safety related topics.</w:t>
      </w:r>
    </w:p>
    <w:p>
      <w:pPr>
        <w:spacing w:after="0" w:line="187" w:lineRule="exact"/>
        <w:rPr>
          <w:sz w:val="20"/>
          <w:szCs w:val="20"/>
          <w:color w:val="auto"/>
        </w:rPr>
      </w:pPr>
    </w:p>
    <w:p>
      <w:pPr>
        <w:ind w:left="60" w:right="79"/>
        <w:spacing w:after="0" w:line="290" w:lineRule="auto"/>
        <w:rPr>
          <w:sz w:val="20"/>
          <w:szCs w:val="20"/>
          <w:color w:val="auto"/>
        </w:rPr>
      </w:pPr>
      <w:r>
        <w:rPr>
          <w:rFonts w:ascii="Arial" w:cs="Arial" w:eastAsia="Arial" w:hAnsi="Arial"/>
          <w:sz w:val="16"/>
          <w:szCs w:val="16"/>
          <w:color w:val="auto"/>
        </w:rPr>
        <w:t>We do not report Scope 1 GHG, or direct, emissions to the EPA as we are not the operator of our properties, nor do we have financial control over our oil and natural gas properties and operations. We prefer to partner with third-party operators that work to reduce their Scope 1 GHG emissions, and we encourage them to accelerate their efforts as appropriate in this regard. The Company reports in its CSR the estimated Scope 2 GHG emissions for its corporate office located in Houston, Texas. Scope 2 GHG emissions are based on indirect emissions representing purchased electricity. We are one of many tenants leasing space in our corporate office building and do not know the actual amount of electricity used in our space. As such, we estimate our consumption by multiplying the electricity purchased for the entire building by the percentage of the floor area that we occupy. Water use is also reported in the CSR and is calculated in a similar fashion.</w:t>
      </w:r>
    </w:p>
    <w:p>
      <w:pPr>
        <w:spacing w:after="0" w:line="165" w:lineRule="exact"/>
        <w:rPr>
          <w:sz w:val="20"/>
          <w:szCs w:val="20"/>
          <w:color w:val="auto"/>
        </w:rPr>
      </w:pPr>
    </w:p>
    <w:p>
      <w:pPr>
        <w:ind w:left="60" w:right="499"/>
        <w:spacing w:after="0" w:line="263" w:lineRule="auto"/>
        <w:rPr>
          <w:sz w:val="20"/>
          <w:szCs w:val="20"/>
          <w:color w:val="auto"/>
        </w:rPr>
      </w:pPr>
      <w:r>
        <w:rPr>
          <w:rFonts w:ascii="Arial" w:cs="Arial" w:eastAsia="Arial" w:hAnsi="Arial"/>
          <w:sz w:val="18"/>
          <w:szCs w:val="18"/>
          <w:color w:val="auto"/>
        </w:rPr>
        <w:t>We maintain a hotline which operates 24/7/365 and allows anonymous and confidential reporting for employees, consultants, partners, and contractors, including the ability to report concerns or violations of our policies through the phone or internet (Phone: 877-628-7489 / Website: www.epm.alertline.com).</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left="60" w:right="79"/>
        <w:spacing w:after="0" w:line="270" w:lineRule="auto"/>
        <w:rPr>
          <w:sz w:val="20"/>
          <w:szCs w:val="20"/>
          <w:color w:val="auto"/>
        </w:rPr>
      </w:pPr>
      <w:r>
        <w:rPr>
          <w:rFonts w:ascii="Arial" w:cs="Arial" w:eastAsia="Arial" w:hAnsi="Arial"/>
          <w:sz w:val="17"/>
          <w:szCs w:val="17"/>
          <w:color w:val="auto"/>
        </w:rPr>
        <w:t>We file Annual Reports on Form 10-K, Quarterly Reports on Form 10-Q, Current Reports on Form 8-K, and other reports with the SEC. Our reports filed with the SEC are available free of charge to the general public through our website at www.evolutionpetroleum.com. These reports are accessible on our website as soon as reasonably practicable after being filed with, or furnished to, the SEC. This Annual Report on Form 10-K and our other filings can also be obtained by contacting: Corporate Secretary, 1155 Dairy Ashford Road, Suite 425, Houston, Texas 77079, or calling (713) 935-0122. These reports are also available at the SEC Public Reference Room at 450 Fifth Street, N.W., Washington, D.C. 20549. The public may obtain information on the operation of the Public Reference Room by calling the SEC at 1-800-SEC-0330. The SEC also maintains a website at www.sec.gov that contains reports, proxy and information statements and other information regarding issuers that file electronically with the SEC.</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i w:val="1"/>
          <w:iCs w:val="1"/>
          <w:color w:val="auto"/>
        </w:rPr>
        <w:t>Our business involves a high degree of risk. If any of the following risks, or any risk described elsewhere in this Annual Report on Form 10-K, actually occurs, our business, financial condition, or results of operations could suffer. The risks described below are not the only ones facing us. Additional risks not presently known to us or which we currently consider to be immaterial also may adversely affect us.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left="60" w:right="299"/>
        <w:spacing w:after="0" w:line="381" w:lineRule="auto"/>
        <w:rPr>
          <w:sz w:val="20"/>
          <w:szCs w:val="20"/>
          <w:color w:val="auto"/>
        </w:rPr>
      </w:pPr>
      <w:r>
        <w:rPr>
          <w:rFonts w:ascii="Arial" w:cs="Arial" w:eastAsia="Arial" w:hAnsi="Arial"/>
          <w:sz w:val="15"/>
          <w:szCs w:val="15"/>
          <w:b w:val="1"/>
          <w:bCs w:val="1"/>
          <w:i w:val="1"/>
          <w:iCs w:val="1"/>
          <w:color w:val="auto"/>
        </w:rPr>
        <w:t>A substantial or extended decline in oil and natural gas prices may adversely affect our business, financial condition, results of operations and our ability to meet our capital expenditure obligations and financial commitments.</w:t>
      </w:r>
    </w:p>
    <w:p>
      <w:pPr>
        <w:spacing w:after="0" w:line="100" w:lineRule="exact"/>
        <w:rPr>
          <w:sz w:val="20"/>
          <w:szCs w:val="20"/>
          <w:color w:val="auto"/>
        </w:rPr>
      </w:pPr>
    </w:p>
    <w:p>
      <w:pPr>
        <w:ind w:left="60" w:right="159"/>
        <w:spacing w:after="0" w:line="293" w:lineRule="auto"/>
        <w:rPr>
          <w:sz w:val="20"/>
          <w:szCs w:val="20"/>
          <w:color w:val="auto"/>
        </w:rPr>
      </w:pPr>
      <w:r>
        <w:rPr>
          <w:rFonts w:ascii="Arial" w:cs="Arial" w:eastAsia="Arial" w:hAnsi="Arial"/>
          <w:sz w:val="16"/>
          <w:szCs w:val="16"/>
          <w:color w:val="auto"/>
        </w:rPr>
        <w:t>The price we receive for our oil and natural gas significantly influences our revenue, profitability, access to capital, capital spending, and future rate of growth. At June 30, 2023, approximately 32% of our proved reserves were oil reserves, 49% were natural gas and 19% were NGLs. Oil, natural gas and NGLs are commodities and their prices are subject to wide fluctuations in response to relatively minor changes in supply and demand. Historically, the markets for oil, natural gas, and NGLs have been volatile and these markets will likely continue to be volatile in the future. The prices we receive for our production depend on numerous factors beyond our control, including, but not limited to the following:</w:t>
      </w:r>
    </w:p>
    <w:p>
      <w:pPr>
        <w:spacing w:after="0" w:line="56" w:lineRule="exact"/>
        <w:rPr>
          <w:sz w:val="20"/>
          <w:szCs w:val="20"/>
          <w:color w:val="auto"/>
        </w:rPr>
      </w:pPr>
    </w:p>
    <w:p>
      <w:pPr>
        <w:ind w:left="960" w:hanging="262"/>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global supply and demand for oil and natural gas;</w:t>
      </w:r>
    </w:p>
    <w:p>
      <w:pPr>
        <w:spacing w:after="0" w:line="23" w:lineRule="exact"/>
        <w:rPr>
          <w:rFonts w:ascii="Arial" w:cs="Arial" w:eastAsia="Arial" w:hAnsi="Arial"/>
          <w:sz w:val="18"/>
          <w:szCs w:val="18"/>
          <w:color w:val="auto"/>
        </w:rPr>
      </w:pPr>
    </w:p>
    <w:p>
      <w:pPr>
        <w:ind w:left="960" w:hanging="262"/>
        <w:spacing w:after="0"/>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worldwide and regional economic conditions impacting the global supply and demand for oil and natural gas;</w:t>
      </w:r>
    </w:p>
    <w:p>
      <w:pPr>
        <w:spacing w:after="0" w:line="32" w:lineRule="exact"/>
        <w:rPr>
          <w:rFonts w:ascii="Arial" w:cs="Arial" w:eastAsia="Arial" w:hAnsi="Arial"/>
          <w:sz w:val="16"/>
          <w:szCs w:val="16"/>
          <w:color w:val="auto"/>
        </w:rPr>
      </w:pPr>
    </w:p>
    <w:p>
      <w:pPr>
        <w:ind w:left="980" w:right="219" w:hanging="282"/>
        <w:spacing w:after="0" w:line="265" w:lineRule="auto"/>
        <w:tabs>
          <w:tab w:leader="none" w:pos="978" w:val="left"/>
        </w:tabs>
        <w:numPr>
          <w:ilvl w:val="0"/>
          <w:numId w:val="14"/>
        </w:numPr>
        <w:rPr>
          <w:rFonts w:ascii="Arial" w:cs="Arial" w:eastAsia="Arial" w:hAnsi="Arial"/>
          <w:sz w:val="17"/>
          <w:szCs w:val="17"/>
          <w:color w:val="auto"/>
        </w:rPr>
      </w:pPr>
      <w:r>
        <w:rPr>
          <w:rFonts w:ascii="Arial" w:cs="Arial" w:eastAsia="Arial" w:hAnsi="Arial"/>
          <w:sz w:val="17"/>
          <w:szCs w:val="17"/>
          <w:color w:val="auto"/>
        </w:rPr>
        <w:t>social unrest, political instability or armed conflict in major oil and natural gas producing regions outside the United States, such as the conflict between Ukraine and Russia, and acts of terrorism or sabotage;</w:t>
      </w:r>
    </w:p>
    <w:p>
      <w:pPr>
        <w:ind w:left="960" w:hanging="262"/>
        <w:spacing w:after="0"/>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ability and willingness of the members of OPEC+ to agree and maintain oil price and production controls;</w:t>
      </w:r>
    </w:p>
    <w:p>
      <w:pPr>
        <w:spacing w:after="0" w:line="32" w:lineRule="exact"/>
        <w:rPr>
          <w:rFonts w:ascii="Arial" w:cs="Arial" w:eastAsia="Arial" w:hAnsi="Arial"/>
          <w:sz w:val="16"/>
          <w:szCs w:val="16"/>
          <w:color w:val="auto"/>
        </w:rPr>
      </w:pPr>
    </w:p>
    <w:p>
      <w:pPr>
        <w:ind w:left="960" w:hanging="262"/>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price and quantity of imports of foreign oil and natural gas;</w:t>
      </w:r>
    </w:p>
    <w:p>
      <w:pPr>
        <w:spacing w:after="0" w:line="9" w:lineRule="exact"/>
        <w:rPr>
          <w:rFonts w:ascii="Arial" w:cs="Arial" w:eastAsia="Arial" w:hAnsi="Arial"/>
          <w:sz w:val="18"/>
          <w:szCs w:val="18"/>
          <w:color w:val="auto"/>
        </w:rPr>
      </w:pPr>
    </w:p>
    <w:p>
      <w:pPr>
        <w:ind w:left="980" w:right="359" w:hanging="282"/>
        <w:spacing w:after="0" w:line="250" w:lineRule="auto"/>
        <w:tabs>
          <w:tab w:leader="none" w:pos="978" w:val="left"/>
        </w:tabs>
        <w:numPr>
          <w:ilvl w:val="0"/>
          <w:numId w:val="14"/>
        </w:numPr>
        <w:rPr>
          <w:rFonts w:ascii="Arial" w:cs="Arial" w:eastAsia="Arial" w:hAnsi="Arial"/>
          <w:sz w:val="18"/>
          <w:szCs w:val="18"/>
          <w:color w:val="auto"/>
        </w:rPr>
      </w:pPr>
      <w:r>
        <w:rPr>
          <w:rFonts w:ascii="Arial" w:cs="Arial" w:eastAsia="Arial" w:hAnsi="Arial"/>
          <w:sz w:val="18"/>
          <w:szCs w:val="18"/>
          <w:color w:val="auto"/>
        </w:rPr>
        <w:t>governmental, scientific, and public concern over the threat of climate change arising from greenhouse gas emissions;</w:t>
      </w:r>
    </w:p>
    <w:p>
      <w:pPr>
        <w:ind w:left="960" w:hanging="262"/>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relative strength or weakness of the U.S. dollar compared to other currencies;</w:t>
      </w:r>
    </w:p>
    <w:p>
      <w:pPr>
        <w:spacing w:after="0" w:line="9" w:lineRule="exact"/>
        <w:rPr>
          <w:rFonts w:ascii="Arial" w:cs="Arial" w:eastAsia="Arial" w:hAnsi="Arial"/>
          <w:sz w:val="18"/>
          <w:szCs w:val="18"/>
          <w:color w:val="auto"/>
        </w:rPr>
      </w:pPr>
    </w:p>
    <w:p>
      <w:pPr>
        <w:ind w:left="960" w:hanging="262"/>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level of global oil and natural gas exploration and production;</w:t>
      </w:r>
    </w:p>
    <w:p>
      <w:pPr>
        <w:spacing w:after="0" w:line="9" w:lineRule="exact"/>
        <w:rPr>
          <w:rFonts w:ascii="Arial" w:cs="Arial" w:eastAsia="Arial" w:hAnsi="Arial"/>
          <w:sz w:val="18"/>
          <w:szCs w:val="18"/>
          <w:color w:val="auto"/>
        </w:rPr>
      </w:pPr>
    </w:p>
    <w:p>
      <w:pPr>
        <w:ind w:left="960" w:hanging="262"/>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level of global oil and natural gas inventories;</w:t>
      </w:r>
    </w:p>
    <w:p>
      <w:pPr>
        <w:spacing w:after="0" w:line="9" w:lineRule="exact"/>
        <w:rPr>
          <w:rFonts w:ascii="Arial" w:cs="Arial" w:eastAsia="Arial" w:hAnsi="Arial"/>
          <w:sz w:val="18"/>
          <w:szCs w:val="18"/>
          <w:color w:val="auto"/>
        </w:rPr>
      </w:pPr>
    </w:p>
    <w:p>
      <w:pPr>
        <w:ind w:left="960" w:hanging="262"/>
        <w:spacing w:after="0"/>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localized supply and demand fundamentals of regional, domestic, and international transportation availability;</w:t>
      </w:r>
    </w:p>
    <w:p>
      <w:pPr>
        <w:spacing w:after="0" w:line="32" w:lineRule="exact"/>
        <w:rPr>
          <w:rFonts w:ascii="Arial" w:cs="Arial" w:eastAsia="Arial" w:hAnsi="Arial"/>
          <w:sz w:val="16"/>
          <w:szCs w:val="16"/>
          <w:color w:val="auto"/>
        </w:rPr>
      </w:pPr>
    </w:p>
    <w:p>
      <w:pPr>
        <w:ind w:left="960" w:hanging="262"/>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weather conditions, natural disasters, and seasonal trends;</w:t>
      </w:r>
    </w:p>
    <w:p>
      <w:pPr>
        <w:spacing w:after="0" w:line="9" w:lineRule="exact"/>
        <w:rPr>
          <w:rFonts w:ascii="Arial" w:cs="Arial" w:eastAsia="Arial" w:hAnsi="Arial"/>
          <w:sz w:val="18"/>
          <w:szCs w:val="18"/>
          <w:color w:val="auto"/>
        </w:rPr>
      </w:pPr>
    </w:p>
    <w:p>
      <w:pPr>
        <w:ind w:left="980" w:right="359" w:hanging="282"/>
        <w:spacing w:after="0" w:line="250" w:lineRule="auto"/>
        <w:tabs>
          <w:tab w:leader="none" w:pos="978"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domestic and foreign governmental regulations, including embargoes, sanctions, tariffs, and environmental regulations;</w:t>
      </w:r>
    </w:p>
    <w:p>
      <w:pPr>
        <w:ind w:left="960" w:hanging="262"/>
        <w:spacing w:after="0"/>
        <w:tabs>
          <w:tab w:leader="none" w:pos="9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speculation as to the future price of oil and the speculative trading of oil and natural gas futures contracts;</w:t>
      </w:r>
    </w:p>
    <w:p>
      <w:pPr>
        <w:spacing w:after="0" w:line="20" w:lineRule="exact"/>
        <w:rPr>
          <w:rFonts w:ascii="Arial" w:cs="Arial" w:eastAsia="Arial" w:hAnsi="Arial"/>
          <w:sz w:val="17"/>
          <w:szCs w:val="17"/>
          <w:color w:val="auto"/>
        </w:rPr>
      </w:pPr>
    </w:p>
    <w:p>
      <w:pPr>
        <w:ind w:left="960" w:hanging="262"/>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price and availability of competitors’ supplies of oil and natural gas;</w:t>
      </w:r>
    </w:p>
    <w:p>
      <w:pPr>
        <w:spacing w:after="0" w:line="9" w:lineRule="exact"/>
        <w:rPr>
          <w:rFonts w:ascii="Arial" w:cs="Arial" w:eastAsia="Arial" w:hAnsi="Arial"/>
          <w:sz w:val="18"/>
          <w:szCs w:val="18"/>
          <w:color w:val="auto"/>
        </w:rPr>
      </w:pPr>
    </w:p>
    <w:p>
      <w:pPr>
        <w:ind w:left="960" w:hanging="262"/>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technological advances affecting energy consumption;</w:t>
      </w:r>
    </w:p>
    <w:p>
      <w:pPr>
        <w:spacing w:after="0" w:line="9" w:lineRule="exact"/>
        <w:rPr>
          <w:rFonts w:ascii="Arial" w:cs="Arial" w:eastAsia="Arial" w:hAnsi="Arial"/>
          <w:sz w:val="18"/>
          <w:szCs w:val="18"/>
          <w:color w:val="auto"/>
        </w:rPr>
      </w:pPr>
    </w:p>
    <w:p>
      <w:pPr>
        <w:ind w:left="960" w:hanging="262"/>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increasing attention to ESG matters; and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tabs>
          <w:tab w:leader="none" w:pos="9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price, availability and use of alternative fuels.</w:t>
      </w:r>
    </w:p>
    <w:p>
      <w:pPr>
        <w:spacing w:after="0" w:line="225" w:lineRule="exact"/>
        <w:rPr>
          <w:sz w:val="20"/>
          <w:szCs w:val="20"/>
          <w:color w:val="auto"/>
        </w:rPr>
      </w:pPr>
    </w:p>
    <w:p>
      <w:pPr>
        <w:ind w:left="60" w:right="139"/>
        <w:spacing w:after="0" w:line="271" w:lineRule="auto"/>
        <w:rPr>
          <w:sz w:val="20"/>
          <w:szCs w:val="20"/>
          <w:color w:val="auto"/>
        </w:rPr>
      </w:pPr>
      <w:r>
        <w:rPr>
          <w:rFonts w:ascii="Arial" w:cs="Arial" w:eastAsia="Arial" w:hAnsi="Arial"/>
          <w:sz w:val="17"/>
          <w:szCs w:val="17"/>
          <w:color w:val="auto"/>
        </w:rPr>
        <w:t>Substantially all of our production is sold to purchasers under short-term (less than 12-month) contracts at market-based prices. A decline in oil, natural gas, and NGL prices will reduce our cash flows, borrowing ability, the present value of our reserves, and our ability to develop future reserves. We may be unable to obtain needed capital or financing on satisfactory terms. Low oil, natural gas, and NGL prices may also reduce the amount of oil, natural gas, and NGL that we can produce economically, which could lead to a decline in our oil, natural gas and NGL reserves. Generally, we hedge substantially less than all of our anticipated oil and natural gas production and typically only with the requirements of our Senior Secured Credit Facility. To the extent that we have not hedged production, any significant and extended decline in oil, natural gas, and NGL prices may adversely affect our financial position.</w:t>
      </w:r>
    </w:p>
    <w:p>
      <w:pPr>
        <w:spacing w:after="0" w:line="178" w:lineRule="exact"/>
        <w:rPr>
          <w:sz w:val="20"/>
          <w:szCs w:val="20"/>
          <w:color w:val="auto"/>
        </w:rPr>
      </w:pPr>
    </w:p>
    <w:p>
      <w:pPr>
        <w:ind w:left="60" w:right="399"/>
        <w:spacing w:after="0" w:line="381" w:lineRule="auto"/>
        <w:rPr>
          <w:sz w:val="20"/>
          <w:szCs w:val="20"/>
          <w:color w:val="auto"/>
        </w:rPr>
      </w:pPr>
      <w:r>
        <w:rPr>
          <w:rFonts w:ascii="Arial" w:cs="Arial" w:eastAsia="Arial" w:hAnsi="Arial"/>
          <w:sz w:val="15"/>
          <w:szCs w:val="15"/>
          <w:b w:val="1"/>
          <w:bCs w:val="1"/>
          <w:i w:val="1"/>
          <w:iCs w:val="1"/>
          <w:color w:val="auto"/>
        </w:rPr>
        <w:t>Our existing developed oil and natural gas production will decline; we may be unable to acquire or develop the additional oil and natural gas reserves that are required in order to sustain our production and business operations.</w:t>
      </w:r>
    </w:p>
    <w:p>
      <w:pPr>
        <w:spacing w:after="0" w:line="100" w:lineRule="exact"/>
        <w:rPr>
          <w:sz w:val="20"/>
          <w:szCs w:val="20"/>
          <w:color w:val="auto"/>
        </w:rPr>
      </w:pPr>
    </w:p>
    <w:p>
      <w:pPr>
        <w:ind w:left="60" w:right="199"/>
        <w:spacing w:after="0" w:line="279" w:lineRule="auto"/>
        <w:rPr>
          <w:sz w:val="20"/>
          <w:szCs w:val="20"/>
          <w:color w:val="auto"/>
        </w:rPr>
      </w:pPr>
      <w:r>
        <w:rPr>
          <w:rFonts w:ascii="Arial" w:cs="Arial" w:eastAsia="Arial" w:hAnsi="Arial"/>
          <w:sz w:val="17"/>
          <w:szCs w:val="17"/>
          <w:color w:val="auto"/>
        </w:rPr>
        <w:t>The volume of production from developed oil and natural gas properties declines as reserves are depleted, with the rate of decline depending on reservoir characteristics. Environmental issues, operating problems, or lack of extended future investment in any of our properties would cause our net production of oil, natural gas, and NGLs to decline significantly over time, which could have a material adverse effect on our financial condition.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types of resources we focus on have substantial operational risks.</w:t>
      </w:r>
    </w:p>
    <w:p>
      <w:pPr>
        <w:spacing w:after="0" w:line="117"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Our business plan focuses on the acquisition and development of known resources in partially depleted, naturally fractured, or low permeability reservoirs. Our Hamilton Dome Field and Delhi Field properties produce from relatively shallow reservoirs, while our Jonah Field, Williston Basin and Barnett Shale properties produce from deeper reservoirs. Shallower reservoirs usually have lower pressure, which generally translates into lower reserves volumes in place. Deeper reservoirs have higher pressures and usually more reserves volumes in place, but capturing those reserves often comes at increased drilling and completion costs and risks and, generally, a higher rate of initial production decline. Low permeability reservoirs require substantial stimulation for development of commercial production. Naturally fractured reservoirs require penetration of sufficient un-depleted fractures to establish commercial production. Depleted reservoirs require successful application of newer, or more expensive, technologies to produce incremental reserves. Our approach on the development and application of technologies on these different types of reservoirs could have a material adverse effect on our results of operations.</w:t>
      </w:r>
    </w:p>
    <w:p>
      <w:pPr>
        <w:spacing w:after="0" w:line="86" w:lineRule="exact"/>
        <w:rPr>
          <w:sz w:val="20"/>
          <w:szCs w:val="20"/>
          <w:color w:val="auto"/>
        </w:rPr>
      </w:pPr>
    </w:p>
    <w:p>
      <w:pPr>
        <w:ind w:left="60" w:right="119"/>
        <w:spacing w:after="0" w:line="259" w:lineRule="auto"/>
        <w:rPr>
          <w:sz w:val="20"/>
          <w:szCs w:val="20"/>
          <w:color w:val="auto"/>
        </w:rPr>
      </w:pPr>
      <w:r>
        <w:rPr>
          <w:rFonts w:ascii="Arial" w:cs="Arial" w:eastAsia="Arial" w:hAnsi="Arial"/>
          <w:sz w:val="17"/>
          <w:szCs w:val="17"/>
          <w:color w:val="auto"/>
        </w:rPr>
        <w:t>The CO</w:t>
      </w:r>
      <w:r>
        <w:rPr>
          <w:rFonts w:ascii="Arial" w:cs="Arial" w:eastAsia="Arial" w:hAnsi="Arial"/>
          <w:sz w:val="25"/>
          <w:szCs w:val="25"/>
          <w:color w:val="auto"/>
          <w:vertAlign w:val="subscript"/>
        </w:rPr>
        <w:t>2</w:t>
      </w:r>
      <w:r>
        <w:rPr>
          <w:rFonts w:ascii="Arial" w:cs="Arial" w:eastAsia="Arial" w:hAnsi="Arial"/>
          <w:sz w:val="17"/>
          <w:szCs w:val="17"/>
          <w:color w:val="auto"/>
        </w:rPr>
        <w:t>-EOR project in the Delhi Field, operated by Denbury, requires significant amounts of CO</w:t>
      </w:r>
      <w:r>
        <w:rPr>
          <w:rFonts w:ascii="Arial" w:cs="Arial" w:eastAsia="Arial" w:hAnsi="Arial"/>
          <w:sz w:val="25"/>
          <w:szCs w:val="25"/>
          <w:color w:val="auto"/>
          <w:vertAlign w:val="subscript"/>
        </w:rPr>
        <w:t>2</w:t>
      </w:r>
      <w:r>
        <w:rPr>
          <w:rFonts w:ascii="Arial" w:cs="Arial" w:eastAsia="Arial" w:hAnsi="Arial"/>
          <w:sz w:val="17"/>
          <w:szCs w:val="17"/>
          <w:color w:val="auto"/>
        </w:rPr>
        <w:t xml:space="preserve"> reserves, development capital, and technical expertise, the sources of which to date have been committed by the operator. On July 13, 2023, Exxon Mobil Corporation (“Exxon”) announced it had entered into a definitive agreement to acquire Denbury. Exxon’s plans with respect to the Delhi Field are unknown. Additional capital remains to be invested to fully develop the EOR project and maximize the value of the properties. The operator’s failure to manage these and other technical, environmental, operational, strategic, financial, and logistical risks may ultimately cause enhanced recoveries from the planned CO</w:t>
      </w:r>
      <w:r>
        <w:rPr>
          <w:rFonts w:ascii="Arial" w:cs="Arial" w:eastAsia="Arial" w:hAnsi="Arial"/>
          <w:sz w:val="25"/>
          <w:szCs w:val="25"/>
          <w:color w:val="auto"/>
          <w:vertAlign w:val="subscript"/>
        </w:rPr>
        <w:t>2</w:t>
      </w:r>
      <w:r>
        <w:rPr>
          <w:rFonts w:ascii="Arial" w:cs="Arial" w:eastAsia="Arial" w:hAnsi="Arial"/>
          <w:sz w:val="17"/>
          <w:szCs w:val="17"/>
          <w:color w:val="auto"/>
        </w:rPr>
        <w:t>-EOR project to fall short of our expectations in volume and/or timing. Such occurrences could have a material adverse effect on our results of operations and financial condition.</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have limited control over the activities on properties we do not operate.</w:t>
      </w:r>
    </w:p>
    <w:p>
      <w:pPr>
        <w:spacing w:after="0" w:line="117" w:lineRule="exact"/>
        <w:rPr>
          <w:sz w:val="20"/>
          <w:szCs w:val="20"/>
          <w:color w:val="auto"/>
        </w:rPr>
      </w:pPr>
    </w:p>
    <w:p>
      <w:pPr>
        <w:ind w:left="60" w:right="99"/>
        <w:spacing w:after="0" w:line="271" w:lineRule="auto"/>
        <w:rPr>
          <w:sz w:val="20"/>
          <w:szCs w:val="20"/>
          <w:color w:val="auto"/>
        </w:rPr>
      </w:pPr>
      <w:r>
        <w:rPr>
          <w:rFonts w:ascii="Arial" w:cs="Arial" w:eastAsia="Arial" w:hAnsi="Arial"/>
          <w:sz w:val="17"/>
          <w:szCs w:val="17"/>
          <w:color w:val="auto"/>
        </w:rPr>
        <w:t>All of our property interests are operated by third-party working interest owners, not by us. As a result, we have limited ability to influence or control the operations or future development of such properties, including compliance with environmental, safety, and other standards, or the amount of capital expenditures that we will be required to fund with respect to such properties. Operators of these properties may act in ways that are not in our best interest. Moreover, we are dependent on the other working interest owners of such projects to fund their contractual share of the capital expenditures of such projects. These limitations and our dependence on the operator and other working interest owners for these projects could cause us to incur unexpected future costs, result in lower production, and materially and adversely affect our financial condition and results of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will be subject to risks in connection with acquisitions.</w:t>
      </w:r>
    </w:p>
    <w:p>
      <w:pPr>
        <w:spacing w:after="0" w:line="117"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color w:val="auto"/>
        </w:rPr>
        <w:t>We periodically evaluate acquisitions of reserves, properties, prospects, leaseholds, and other strategic transactions that appear to fit within our overall business strategy. The successful acquisition of producing properties requires an assessment of several factors, including, but not limited to:</w:t>
      </w:r>
    </w:p>
    <w:p>
      <w:pPr>
        <w:spacing w:after="0" w:line="76" w:lineRule="exact"/>
        <w:rPr>
          <w:sz w:val="20"/>
          <w:szCs w:val="20"/>
          <w:color w:val="auto"/>
        </w:rPr>
      </w:pPr>
    </w:p>
    <w:p>
      <w:pPr>
        <w:ind w:left="1100" w:hanging="375"/>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recoverable reserves;</w:t>
      </w:r>
    </w:p>
    <w:p>
      <w:pPr>
        <w:spacing w:after="0" w:line="23" w:lineRule="exact"/>
        <w:rPr>
          <w:rFonts w:ascii="Arial" w:cs="Arial" w:eastAsia="Arial" w:hAnsi="Arial"/>
          <w:sz w:val="18"/>
          <w:szCs w:val="18"/>
          <w:color w:val="auto"/>
        </w:rPr>
      </w:pPr>
    </w:p>
    <w:p>
      <w:pPr>
        <w:ind w:left="1100" w:hanging="375"/>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future oil and natural gas prices and their appropriate differentials;</w:t>
      </w:r>
    </w:p>
    <w:p>
      <w:pPr>
        <w:spacing w:after="0" w:line="9" w:lineRule="exact"/>
        <w:rPr>
          <w:rFonts w:ascii="Arial" w:cs="Arial" w:eastAsia="Arial" w:hAnsi="Arial"/>
          <w:sz w:val="18"/>
          <w:szCs w:val="18"/>
          <w:color w:val="auto"/>
        </w:rPr>
      </w:pPr>
    </w:p>
    <w:p>
      <w:pPr>
        <w:ind w:left="1100" w:hanging="375"/>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development and operating costs;</w:t>
      </w:r>
    </w:p>
    <w:p>
      <w:pPr>
        <w:spacing w:after="0" w:line="9" w:lineRule="exact"/>
        <w:rPr>
          <w:rFonts w:ascii="Arial" w:cs="Arial" w:eastAsia="Arial" w:hAnsi="Arial"/>
          <w:sz w:val="18"/>
          <w:szCs w:val="18"/>
          <w:color w:val="auto"/>
        </w:rPr>
      </w:pPr>
    </w:p>
    <w:p>
      <w:pPr>
        <w:ind w:left="1100" w:hanging="375"/>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for future drilling and production;</w:t>
      </w:r>
    </w:p>
    <w:p>
      <w:pPr>
        <w:spacing w:after="0" w:line="9" w:lineRule="exact"/>
        <w:rPr>
          <w:rFonts w:ascii="Arial" w:cs="Arial" w:eastAsia="Arial" w:hAnsi="Arial"/>
          <w:sz w:val="18"/>
          <w:szCs w:val="18"/>
          <w:color w:val="auto"/>
        </w:rPr>
      </w:pPr>
    </w:p>
    <w:p>
      <w:pPr>
        <w:ind w:left="1100" w:hanging="375"/>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validity of the seller’s title to properties, which may be less than expected at closing; and</w:t>
      </w:r>
    </w:p>
    <w:p>
      <w:pPr>
        <w:spacing w:after="0" w:line="9" w:lineRule="exact"/>
        <w:rPr>
          <w:rFonts w:ascii="Arial" w:cs="Arial" w:eastAsia="Arial" w:hAnsi="Arial"/>
          <w:sz w:val="18"/>
          <w:szCs w:val="18"/>
          <w:color w:val="auto"/>
        </w:rPr>
      </w:pPr>
    </w:p>
    <w:p>
      <w:pPr>
        <w:ind w:left="1100" w:hanging="375"/>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environmental issues, litigation, and other liabilities.</w:t>
      </w:r>
    </w:p>
    <w:p>
      <w:pPr>
        <w:spacing w:after="0" w:line="211"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The accuracy of these assessments is inherently uncertain. In connection with these assessments, we perform a review of the subject properties that we believe to be generally consistent with industry practices. Our review will not reveal all existing or potential problems nor will it permit us to become sufficiently familiar with the properties to fully assess their deficiencies and potential recoverable reserves. Inspections may not always be performed on every well, and environmental problems are not necessarily observable at the ground surface or otherwise when an inspection is performed. Even when problems are identified, the seller may be unwilling or unable to provide effective contractual protection against all or part of the problems. Moreover, in the event of such an acquisition, there is a risk that we could ultimately be liable for unknown obligations related to acquisitions and, importantly, that our assumptions regarding future oil and natural gas prices, differentials, reserves, or production could prove materially inaccurate and have a material adverse effect on our financial condition, results of operations, or cash flows.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We may encounter difficulties integrating the operations of newly acquired oil and natural gas properties or businesses.</w:t>
      </w:r>
    </w:p>
    <w:p>
      <w:pPr>
        <w:spacing w:after="0" w:line="260" w:lineRule="exact"/>
        <w:rPr>
          <w:sz w:val="20"/>
          <w:szCs w:val="20"/>
          <w:color w:val="auto"/>
        </w:rPr>
      </w:pPr>
    </w:p>
    <w:p>
      <w:pPr>
        <w:ind w:left="60" w:right="319"/>
        <w:spacing w:after="0" w:line="296" w:lineRule="auto"/>
        <w:rPr>
          <w:sz w:val="20"/>
          <w:szCs w:val="20"/>
          <w:color w:val="auto"/>
        </w:rPr>
      </w:pPr>
      <w:r>
        <w:rPr>
          <w:rFonts w:ascii="Arial" w:cs="Arial" w:eastAsia="Arial" w:hAnsi="Arial"/>
          <w:sz w:val="16"/>
          <w:szCs w:val="16"/>
          <w:color w:val="auto"/>
        </w:rPr>
        <w:t>Increasing our reserve base through acquisitions has been an important part of our business strategy. We may encounter difficulties integrating newly acquired oil and natural gas properties or businesses. In particular, we may face significant challenges in consolidating functions and integrating procedures, personnel, and business operations in an effective manner. The failure to successfully integrate such properties or businesses into our Company may adversely affect our business and results of operations. Any acquisition we make may involve numerous risks, including:</w:t>
      </w:r>
    </w:p>
    <w:p>
      <w:pPr>
        <w:spacing w:after="0" w:line="53" w:lineRule="exact"/>
        <w:rPr>
          <w:sz w:val="20"/>
          <w:szCs w:val="20"/>
          <w:color w:val="auto"/>
        </w:rPr>
      </w:pPr>
    </w:p>
    <w:p>
      <w:pPr>
        <w:ind w:left="1100" w:hanging="375"/>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significant increase in our indebtedness and working capital requirements;</w:t>
      </w:r>
    </w:p>
    <w:p>
      <w:pPr>
        <w:spacing w:after="0" w:line="23" w:lineRule="exact"/>
        <w:rPr>
          <w:rFonts w:ascii="Arial" w:cs="Arial" w:eastAsia="Arial" w:hAnsi="Arial"/>
          <w:sz w:val="18"/>
          <w:szCs w:val="18"/>
          <w:color w:val="auto"/>
        </w:rPr>
      </w:pPr>
    </w:p>
    <w:p>
      <w:pPr>
        <w:ind w:left="1100" w:hanging="375"/>
        <w:spacing w:after="0"/>
        <w:tabs>
          <w:tab w:leader="none" w:pos="11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inability to timely and effectively integrate the operations of recently acquired businesses or assets;</w:t>
      </w:r>
    </w:p>
    <w:p>
      <w:pPr>
        <w:spacing w:after="0" w:line="20" w:lineRule="exact"/>
        <w:rPr>
          <w:rFonts w:ascii="Arial" w:cs="Arial" w:eastAsia="Arial" w:hAnsi="Arial"/>
          <w:sz w:val="17"/>
          <w:szCs w:val="17"/>
          <w:color w:val="auto"/>
        </w:rPr>
      </w:pPr>
    </w:p>
    <w:p>
      <w:pPr>
        <w:ind w:left="1100" w:right="79" w:hanging="375"/>
        <w:spacing w:after="0" w:line="250" w:lineRule="auto"/>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incurrence of substantial costs to address unforeseen environmental and other liabilities arising out of the acquired businesses or assets;</w:t>
      </w:r>
    </w:p>
    <w:p>
      <w:pPr>
        <w:ind w:left="1100" w:hanging="375"/>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liabilities arising from the operation of the acquired businesses or assets before our acquisition;</w:t>
      </w:r>
    </w:p>
    <w:p>
      <w:pPr>
        <w:spacing w:after="0" w:line="9" w:lineRule="exact"/>
        <w:rPr>
          <w:rFonts w:ascii="Arial" w:cs="Arial" w:eastAsia="Arial" w:hAnsi="Arial"/>
          <w:sz w:val="18"/>
          <w:szCs w:val="18"/>
          <w:color w:val="auto"/>
        </w:rPr>
      </w:pPr>
    </w:p>
    <w:p>
      <w:pPr>
        <w:ind w:left="1100" w:hanging="375"/>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lack of drilling or operational history in the areas in which the acquired business operates;</w:t>
      </w:r>
    </w:p>
    <w:p>
      <w:pPr>
        <w:spacing w:after="0" w:line="9" w:lineRule="exact"/>
        <w:rPr>
          <w:rFonts w:ascii="Arial" w:cs="Arial" w:eastAsia="Arial" w:hAnsi="Arial"/>
          <w:sz w:val="18"/>
          <w:szCs w:val="18"/>
          <w:color w:val="auto"/>
        </w:rPr>
      </w:pPr>
    </w:p>
    <w:p>
      <w:pPr>
        <w:ind w:left="1100" w:hanging="375"/>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customer or key employee loss from the acquired business;</w:t>
      </w:r>
    </w:p>
    <w:p>
      <w:pPr>
        <w:spacing w:after="0" w:line="9" w:lineRule="exact"/>
        <w:rPr>
          <w:rFonts w:ascii="Arial" w:cs="Arial" w:eastAsia="Arial" w:hAnsi="Arial"/>
          <w:sz w:val="18"/>
          <w:szCs w:val="18"/>
          <w:color w:val="auto"/>
        </w:rPr>
      </w:pPr>
    </w:p>
    <w:p>
      <w:pPr>
        <w:ind w:left="1100" w:hanging="375"/>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administration of new personnel;</w:t>
      </w:r>
    </w:p>
    <w:p>
      <w:pPr>
        <w:spacing w:after="0" w:line="9" w:lineRule="exact"/>
        <w:rPr>
          <w:rFonts w:ascii="Arial" w:cs="Arial" w:eastAsia="Arial" w:hAnsi="Arial"/>
          <w:sz w:val="18"/>
          <w:szCs w:val="18"/>
          <w:color w:val="auto"/>
        </w:rPr>
      </w:pPr>
    </w:p>
    <w:p>
      <w:pPr>
        <w:ind w:left="1100" w:hanging="375"/>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additional costs due to increased scope and complexity of our business;</w:t>
      </w:r>
    </w:p>
    <w:p>
      <w:pPr>
        <w:spacing w:after="0" w:line="9" w:lineRule="exact"/>
        <w:rPr>
          <w:rFonts w:ascii="Arial" w:cs="Arial" w:eastAsia="Arial" w:hAnsi="Arial"/>
          <w:sz w:val="18"/>
          <w:szCs w:val="18"/>
          <w:color w:val="auto"/>
        </w:rPr>
      </w:pPr>
    </w:p>
    <w:p>
      <w:pPr>
        <w:ind w:left="1100" w:hanging="375"/>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disruption of our ongoing business; and</w:t>
      </w:r>
    </w:p>
    <w:p>
      <w:pPr>
        <w:spacing w:after="0" w:line="9" w:lineRule="exact"/>
        <w:rPr>
          <w:rFonts w:ascii="Arial" w:cs="Arial" w:eastAsia="Arial" w:hAnsi="Arial"/>
          <w:sz w:val="18"/>
          <w:szCs w:val="18"/>
          <w:color w:val="auto"/>
        </w:rPr>
      </w:pPr>
    </w:p>
    <w:p>
      <w:pPr>
        <w:ind w:left="1100" w:hanging="375"/>
        <w:spacing w:after="0"/>
        <w:tabs>
          <w:tab w:leader="none" w:pos="11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assumptions made on estimated development by the operator may not be accurate or may change.</w:t>
      </w:r>
    </w:p>
    <w:p>
      <w:pPr>
        <w:spacing w:after="0" w:line="222" w:lineRule="exact"/>
        <w:rPr>
          <w:sz w:val="20"/>
          <w:szCs w:val="20"/>
          <w:color w:val="auto"/>
        </w:rPr>
      </w:pPr>
    </w:p>
    <w:p>
      <w:pPr>
        <w:ind w:left="60" w:right="119"/>
        <w:spacing w:after="0" w:line="293" w:lineRule="auto"/>
        <w:rPr>
          <w:sz w:val="20"/>
          <w:szCs w:val="20"/>
          <w:color w:val="auto"/>
        </w:rPr>
      </w:pPr>
      <w:r>
        <w:rPr>
          <w:rFonts w:ascii="Arial" w:cs="Arial" w:eastAsia="Arial" w:hAnsi="Arial"/>
          <w:sz w:val="16"/>
          <w:szCs w:val="16"/>
          <w:color w:val="auto"/>
        </w:rPr>
        <w:t>Additionally, significant acquisitions can change the nature of our operations and business depending upon the character of the acquired properties, which may have substantially different operating and geological characteristics or be in different geographic locations than our existing properties. To the extent that we acquire properties substantially different from the properties we currently own or that require different technical expertise, we may not be able to realize the economic benefits of these acquisitions as effectively as with acquisitions within our current footprint and expertise. We may not be successful in addressing these risks or any other problems encountered in connection with any acquisition we may make.</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39"/>
        <w:spacing w:after="0" w:line="263" w:lineRule="auto"/>
        <w:rPr>
          <w:sz w:val="20"/>
          <w:szCs w:val="20"/>
          <w:color w:val="auto"/>
        </w:rPr>
      </w:pPr>
      <w:r>
        <w:rPr>
          <w:rFonts w:ascii="Arial" w:cs="Arial" w:eastAsia="Arial" w:hAnsi="Arial"/>
          <w:sz w:val="18"/>
          <w:szCs w:val="18"/>
          <w:b w:val="1"/>
          <w:bCs w:val="1"/>
          <w:i w:val="1"/>
          <w:iCs w:val="1"/>
          <w:color w:val="auto"/>
        </w:rPr>
        <w:t>Oil and natural gas development, re-completion of wells from one reservoir to another reservoir, restoring wells to production, and drilling and completing new wells are speculative activities which involve numerous risks and substantial uncertain costs.</w:t>
      </w:r>
    </w:p>
    <w:p>
      <w:pPr>
        <w:spacing w:after="0" w:line="184" w:lineRule="exact"/>
        <w:rPr>
          <w:sz w:val="20"/>
          <w:szCs w:val="20"/>
          <w:color w:val="auto"/>
        </w:rPr>
      </w:pPr>
    </w:p>
    <w:p>
      <w:pPr>
        <w:ind w:left="60" w:right="119"/>
        <w:spacing w:after="0" w:line="279" w:lineRule="auto"/>
        <w:rPr>
          <w:sz w:val="20"/>
          <w:szCs w:val="20"/>
          <w:color w:val="auto"/>
        </w:rPr>
      </w:pPr>
      <w:r>
        <w:rPr>
          <w:rFonts w:ascii="Arial" w:cs="Arial" w:eastAsia="Arial" w:hAnsi="Arial"/>
          <w:sz w:val="17"/>
          <w:szCs w:val="17"/>
          <w:color w:val="auto"/>
        </w:rPr>
        <w:t>Our growth will be partially dependent upon the success of future development programs on our properties. Drilling for oil and natural gas and extracting NGLs and re-working existing wells involve numerous risks. The cost of drilling, completing, and operating wells is substantial and uncertain; drilling operations may be curtailed, delayed, or canceled as a result of a variety of factors beyond our control, including, but not limited to:</w:t>
      </w:r>
    </w:p>
    <w:p>
      <w:pPr>
        <w:spacing w:after="0" w:line="63" w:lineRule="exact"/>
        <w:rPr>
          <w:sz w:val="20"/>
          <w:szCs w:val="20"/>
          <w:color w:val="auto"/>
        </w:rPr>
      </w:pP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unexpected drilling conditions;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pressure fluctuations or irregularities in reservoir formations;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equipment failures or accidents;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well blowouts and other releases of hazardous materials;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obtain or maintain leases on economic terms, where applicable;</w:t>
      </w:r>
    </w:p>
    <w:p>
      <w:pPr>
        <w:spacing w:after="0" w:line="9" w:lineRule="exact"/>
        <w:rPr>
          <w:rFonts w:ascii="Arial" w:cs="Arial" w:eastAsia="Arial" w:hAnsi="Arial"/>
          <w:sz w:val="18"/>
          <w:szCs w:val="18"/>
          <w:color w:val="auto"/>
        </w:rPr>
      </w:pPr>
    </w:p>
    <w:p>
      <w:pPr>
        <w:ind w:left="1040" w:right="679" w:hanging="315"/>
        <w:spacing w:after="0" w:line="250"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and availability of goods and services, such as drilling rigs, fracture stimulation services, and tubulars;</w:t>
      </w: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weather conditions;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compliance with governmental requirements;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shortages or delays in the availability of drilling rigs or crews and the delivery of equipment.</w:t>
      </w:r>
    </w:p>
    <w:p>
      <w:pPr>
        <w:spacing w:after="0" w:line="211" w:lineRule="exact"/>
        <w:rPr>
          <w:sz w:val="20"/>
          <w:szCs w:val="20"/>
          <w:color w:val="auto"/>
        </w:rPr>
      </w:pPr>
    </w:p>
    <w:p>
      <w:pPr>
        <w:ind w:left="60" w:right="139"/>
        <w:spacing w:after="0" w:line="268" w:lineRule="auto"/>
        <w:rPr>
          <w:sz w:val="20"/>
          <w:szCs w:val="20"/>
          <w:color w:val="auto"/>
        </w:rPr>
      </w:pPr>
      <w:r>
        <w:rPr>
          <w:rFonts w:ascii="Arial" w:cs="Arial" w:eastAsia="Arial" w:hAnsi="Arial"/>
          <w:sz w:val="16"/>
          <w:szCs w:val="16"/>
          <w:color w:val="auto"/>
        </w:rPr>
        <w:t>Drilling or re-working is a highly speculative activity. Even when fully and correctly utilized, modern well completion and production techniques, such as Horizontal Drilling or CO</w:t>
      </w:r>
      <w:r>
        <w:rPr>
          <w:rFonts w:ascii="Arial" w:cs="Arial" w:eastAsia="Arial" w:hAnsi="Arial"/>
          <w:sz w:val="23"/>
          <w:szCs w:val="23"/>
          <w:color w:val="auto"/>
          <w:vertAlign w:val="subscript"/>
        </w:rPr>
        <w:t>2</w:t>
      </w:r>
      <w:r>
        <w:rPr>
          <w:rFonts w:ascii="Arial" w:cs="Arial" w:eastAsia="Arial" w:hAnsi="Arial"/>
          <w:sz w:val="16"/>
          <w:szCs w:val="16"/>
          <w:color w:val="auto"/>
        </w:rPr>
        <w:t xml:space="preserve"> injection, do not guarantee that we will find and produce oil and/or natural gas in economic quantities. Our future drilling, completion and production activities may not be successful and, if unsuccessful, such failure would have an adverse effect on our future results of operations and financial condition.</w:t>
      </w:r>
    </w:p>
    <w:p>
      <w:pPr>
        <w:spacing w:after="0" w:line="74"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We may also identify and develop prospects through a number of methods, some of which may include Horizontal Drilling or tertiary injectants, and some of which may be unproven. The drilling and results for these prospects may be particularly uncertain. We cannot ensure that these projects can be successfully developed or that wells will, if drilled, encounter reservoirs of commercially productive oil or natural gas.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oil and natural gas reserves are only estimates and may prove to be inaccurate.</w:t>
      </w:r>
    </w:p>
    <w:p>
      <w:pPr>
        <w:spacing w:after="0" w:line="225" w:lineRule="exact"/>
        <w:rPr>
          <w:sz w:val="20"/>
          <w:szCs w:val="20"/>
          <w:color w:val="auto"/>
        </w:rPr>
      </w:pPr>
    </w:p>
    <w:p>
      <w:pPr>
        <w:ind w:left="60" w:right="99"/>
        <w:spacing w:after="0" w:line="287" w:lineRule="auto"/>
        <w:rPr>
          <w:sz w:val="20"/>
          <w:szCs w:val="20"/>
          <w:color w:val="auto"/>
        </w:rPr>
      </w:pPr>
      <w:r>
        <w:rPr>
          <w:rFonts w:ascii="Arial" w:cs="Arial" w:eastAsia="Arial" w:hAnsi="Arial"/>
          <w:sz w:val="16"/>
          <w:szCs w:val="16"/>
          <w:color w:val="auto"/>
        </w:rPr>
        <w:t>There are numerous uncertainties inherent in estimating oil and natural gas reserves and their estimated values. Our reserves are only estimates that may prove to be inaccurate because of these inherent uncertainties. Reservoir engineering is a subjective process of estimating underground accumulations of oil and natural gas that cannot always be measured in an exact manner. Estimates of economically recoverable oil and natural gas reserves depend upon a number of variable factors. These factors include historical production from the area compared with production from other comparable producing areas, assumptions concerning effects of regulations by governmental agencies, future oil and natural gas product prices, future operating costs, severance and excise taxes, development costs, workover costs, and remedial costs. Some or all of these assumptions utilized in estimating reserve volumes may vary considerably from actual results. For these reasons, estimates of the economically recoverable quantities of reserves, classifications of such reserves based on risk of recovery, and estimates of the future net cash flows expected from reserves may vary substantially depending on the timing and different engineers preparing reserves estimates.</w:t>
      </w:r>
    </w:p>
    <w:p>
      <w:pPr>
        <w:spacing w:after="0" w:line="172" w:lineRule="exact"/>
        <w:rPr>
          <w:sz w:val="20"/>
          <w:szCs w:val="20"/>
          <w:color w:val="auto"/>
        </w:rPr>
      </w:pPr>
    </w:p>
    <w:p>
      <w:pPr>
        <w:ind w:left="60" w:right="79"/>
        <w:spacing w:after="0" w:line="288" w:lineRule="auto"/>
        <w:rPr>
          <w:sz w:val="20"/>
          <w:szCs w:val="20"/>
          <w:color w:val="auto"/>
        </w:rPr>
      </w:pPr>
      <w:r>
        <w:rPr>
          <w:rFonts w:ascii="Arial" w:cs="Arial" w:eastAsia="Arial" w:hAnsi="Arial"/>
          <w:sz w:val="16"/>
          <w:szCs w:val="16"/>
          <w:color w:val="auto"/>
        </w:rPr>
        <w:t>Accordingly, reserve estimates may be subject to downward or upward adjustments. Actual production, revenue, and expenditures with respect to our reserves will likely vary from estimates; such variances may be material. The information regarding discounted future net cash flows included in this report should not be considered as the current market value of the estimated oil and natural gas reserves attributable to our properties. The estimated discounted future net cash flows from proved reserves are based on the 12-month average price, calculated as the unweighted arithmetic average of the first-day-of-the-month price for each month within the 12-month period prior to the end of the reporting period, and costs as of the date of the estimate, while actual future prices and costs may be materially higher or lower. Actual future net cash flows also will be affected by factors such as the amount and timing of actual production, supply and demand for oil and natural gas, increases or decreases in consumption, and changes in governmental regulations or taxation. In addition, the 10% discount factor, which is required by the SEC to be used in calculating discounted future</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63" w:lineRule="auto"/>
        <w:rPr>
          <w:sz w:val="20"/>
          <w:szCs w:val="20"/>
          <w:color w:val="auto"/>
        </w:rPr>
      </w:pPr>
      <w:r>
        <w:rPr>
          <w:rFonts w:ascii="Arial" w:cs="Arial" w:eastAsia="Arial" w:hAnsi="Arial"/>
          <w:sz w:val="18"/>
          <w:szCs w:val="18"/>
          <w:color w:val="auto"/>
        </w:rPr>
        <w:t>net cash flows for reporting purposes, is not necessarily the most appropriate discount factor. Interest rates in effect vary from time to time based on risks associated with us or the oil and natural gas industry in general. The Standardized Measure does not necessarily correspond to market value.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Regulatory and accounting requirements may require substantial reductions in reporting proven reserves.</w:t>
      </w:r>
    </w:p>
    <w:p>
      <w:pPr>
        <w:spacing w:after="0" w:line="237"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color w:val="auto"/>
        </w:rPr>
        <w:t>On a periodic basis, we review the carrying value of our oil and natural gas properties under the applicable rules of various regulatory agencies, including the SEC. Under the full cost method of accounting that we use, the after-tax carrying value of our oil and natural gas properties may not exceed the present value of estimated future net after-tax cash flows from proved reserves, discounted at 10%. Application of this “ceiling” test requires pricing future revenues at the previous 12-month average beginning-of-month price and requires a write-down of the carrying value for accounting purposes if the ceiling is exceeded. We may in the future be required to write down the carrying value of our oil and natural gas properties when oil and natural gas prices are depressed or unusually volatile. Whether we will be required to take such a charge will depend in part on the prices of oil and natural gas during the previous period and the effect of reserve additions or revisions and capital expenditures during such period. If a write-down is required, it would result in a current charge to our earnings but would not impact our current cash flow from operating activities. A large write-down could adversely affect our compliance with the current financial covenants under our credit facility, could limit our access to future borrowings under that facility, or require repayment of any amounts that might be outstanding at the time.</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derivative activities could result in financial losses or could reduce our income.</w:t>
      </w:r>
    </w:p>
    <w:p>
      <w:pPr>
        <w:spacing w:after="0" w:line="225" w:lineRule="exact"/>
        <w:rPr>
          <w:sz w:val="20"/>
          <w:szCs w:val="20"/>
          <w:color w:val="auto"/>
        </w:rPr>
      </w:pPr>
    </w:p>
    <w:p>
      <w:pPr>
        <w:ind w:left="60" w:right="79" w:firstLine="45"/>
        <w:spacing w:after="0" w:line="269" w:lineRule="auto"/>
        <w:rPr>
          <w:sz w:val="20"/>
          <w:szCs w:val="20"/>
          <w:color w:val="auto"/>
        </w:rPr>
      </w:pPr>
      <w:r>
        <w:rPr>
          <w:rFonts w:ascii="Arial" w:cs="Arial" w:eastAsia="Arial" w:hAnsi="Arial"/>
          <w:sz w:val="17"/>
          <w:szCs w:val="17"/>
          <w:color w:val="auto"/>
        </w:rPr>
        <w:t>Under the terms of our Senior Secured Credit Facility, we are required to hedge a certain portion of our anticipated oil and natural gas production for future periods when we reach a defined utilization percentage. We may also elect to hedge additional production volumes from time to time based upon our view of the attractiveness of commodity futures and the risks that downward price fluctuations might pose to our business plans. When we engage in hedging transactions, we may utilize costless collars, fixed price swaps or purchased floors to cost-effectively provide us with some protection against price changes. We have not historically designated any of our derivative instruments as hedges for accounting purposes and record all derivative instruments on our balance sheet at fair value. Changes in the fair value of our derivative instruments are recognized in earnings. Accordingly, our earnings may fluctuate significantly as a result of changes in the fair value of our future derivative instruments. Derivative arrangements may also expose us to the risk of financial loss in some circumstances, including, but not limited to, if:</w:t>
      </w:r>
    </w:p>
    <w:p>
      <w:pPr>
        <w:spacing w:after="0" w:line="185" w:lineRule="exact"/>
        <w:rPr>
          <w:sz w:val="20"/>
          <w:szCs w:val="20"/>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production is less than the volume covered by the derivative instruments;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counterparty to the derivative instrument defaults on its contract obligations; or</w:t>
      </w:r>
    </w:p>
    <w:p>
      <w:pPr>
        <w:spacing w:after="0" w:line="9" w:lineRule="exact"/>
        <w:rPr>
          <w:rFonts w:ascii="Arial" w:cs="Arial" w:eastAsia="Arial" w:hAnsi="Arial"/>
          <w:sz w:val="18"/>
          <w:szCs w:val="18"/>
          <w:color w:val="auto"/>
        </w:rPr>
      </w:pPr>
    </w:p>
    <w:p>
      <w:pPr>
        <w:ind w:left="1040" w:right="319" w:hanging="315"/>
        <w:spacing w:after="0" w:line="260"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there is a change in the expected differential between the underlying price in the derivative instrument and actual price received.</w:t>
      </w:r>
    </w:p>
    <w:p>
      <w:pPr>
        <w:spacing w:after="0" w:line="185" w:lineRule="exact"/>
        <w:rPr>
          <w:sz w:val="20"/>
          <w:szCs w:val="20"/>
          <w:color w:val="auto"/>
        </w:rPr>
      </w:pPr>
    </w:p>
    <w:p>
      <w:pPr>
        <w:ind w:left="60" w:right="439"/>
        <w:spacing w:after="0" w:line="308" w:lineRule="auto"/>
        <w:rPr>
          <w:sz w:val="20"/>
          <w:szCs w:val="20"/>
          <w:color w:val="auto"/>
        </w:rPr>
      </w:pPr>
      <w:r>
        <w:rPr>
          <w:rFonts w:ascii="Arial" w:cs="Arial" w:eastAsia="Arial" w:hAnsi="Arial"/>
          <w:sz w:val="17"/>
          <w:szCs w:val="17"/>
          <w:color w:val="auto"/>
        </w:rPr>
        <w:t>In addition, in a rising commodity price environment, derivative arrangements may limit the extent to which we might benefit from increases in prices of oil and natural gas and may expose us to cash margin requirements.</w:t>
      </w:r>
    </w:p>
    <w:p>
      <w:pPr>
        <w:spacing w:after="0" w:line="146"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b w:val="1"/>
          <w:bCs w:val="1"/>
          <w:i w:val="1"/>
          <w:iCs w:val="1"/>
          <w:color w:val="auto"/>
        </w:rPr>
        <w:t>Our operations may require significant amounts of capital and additional financing may be necessary in order for us to continue our exploitation activities.</w:t>
      </w:r>
    </w:p>
    <w:p>
      <w:pPr>
        <w:spacing w:after="0" w:line="170" w:lineRule="exact"/>
        <w:rPr>
          <w:sz w:val="20"/>
          <w:szCs w:val="20"/>
          <w:color w:val="auto"/>
        </w:rPr>
      </w:pPr>
    </w:p>
    <w:p>
      <w:pPr>
        <w:ind w:left="60" w:right="99"/>
        <w:spacing w:after="0" w:line="293" w:lineRule="auto"/>
        <w:rPr>
          <w:sz w:val="20"/>
          <w:szCs w:val="20"/>
          <w:color w:val="auto"/>
        </w:rPr>
      </w:pPr>
      <w:r>
        <w:rPr>
          <w:rFonts w:ascii="Arial" w:cs="Arial" w:eastAsia="Arial" w:hAnsi="Arial"/>
          <w:sz w:val="16"/>
          <w:szCs w:val="16"/>
          <w:color w:val="auto"/>
        </w:rPr>
        <w:t>Cash flow from our production may not be sufficient to fund our ongoing activities at all times. From time to time, we may require additional financing in order to carry out oil and natural gas acquisitions, exploitation, and development activities. If our revenues decrease as a result of decreases in production, lower oil and natural gas prices or otherwise, it will affect our ability to expend the necessary capital to replace our reserves or to maintain our current production. If our cash flow from operations is not sufficient to satisfy our capital expenditure requirements, there can be no assurance that additional debt or equity financing will be available to meet these requirements or be available to us on favorable terms.</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b w:val="1"/>
          <w:bCs w:val="1"/>
          <w:i w:val="1"/>
          <w:iCs w:val="1"/>
          <w:color w:val="auto"/>
        </w:rPr>
        <w:t>Government regulation and liability for oil and natural gas operations and environmental matters may adversely affect our business and results of operations.</w:t>
      </w:r>
    </w:p>
    <w:p>
      <w:pPr>
        <w:spacing w:after="0" w:line="170" w:lineRule="exact"/>
        <w:rPr>
          <w:sz w:val="20"/>
          <w:szCs w:val="20"/>
          <w:color w:val="auto"/>
        </w:rPr>
      </w:pPr>
    </w:p>
    <w:p>
      <w:pPr>
        <w:ind w:left="60" w:right="59"/>
        <w:spacing w:after="0" w:line="279" w:lineRule="auto"/>
        <w:rPr>
          <w:sz w:val="20"/>
          <w:szCs w:val="20"/>
          <w:color w:val="auto"/>
        </w:rPr>
      </w:pPr>
      <w:r>
        <w:rPr>
          <w:rFonts w:ascii="Arial" w:cs="Arial" w:eastAsia="Arial" w:hAnsi="Arial"/>
          <w:sz w:val="16"/>
          <w:szCs w:val="16"/>
          <w:color w:val="auto"/>
        </w:rPr>
        <w:t>Oil and natural gas operations are subject to extensive federal, state, and local government regulations, which may change from time to time. Matters subject to regulation include discharge permits for drilling operations, drilling bonds, reports concerning operations, the spacing of wells, unitization and pooling of properties, and taxation. From time to time, regulatory agencies have imposed price controls and limitations on production by restricting the rate of flow of oil and natural gas from wells below actual production capacity in order to conserve supplies of oil and natural gas. There are federal, state, and local laws and regulations addressing protection of human health and the environment that apply to the development, production, handling, storage, and transportation of oil, natural gas, and their by-products; the disposal of related wastes; the emission of CO</w:t>
      </w:r>
      <w:r>
        <w:rPr>
          <w:rFonts w:ascii="Arial" w:cs="Arial" w:eastAsia="Arial" w:hAnsi="Arial"/>
          <w:sz w:val="23"/>
          <w:szCs w:val="23"/>
          <w:color w:val="auto"/>
          <w:vertAlign w:val="subscript"/>
        </w:rPr>
        <w:t>2</w:t>
      </w:r>
      <w:r>
        <w:rPr>
          <w:rFonts w:ascii="Arial" w:cs="Arial" w:eastAsia="Arial" w:hAnsi="Arial"/>
          <w:sz w:val="16"/>
          <w:szCs w:val="16"/>
          <w:color w:val="auto"/>
        </w:rPr>
        <w:t>, other greenhouse gases, and volatile organic compounds; and the management of other substances and materials released, produced or used in connection with oil and natural gas operations. These laws and regulations may affect the costs, manner, and feasibility of our operations by, among other things, requiring us to make significant expenditures in order to comply and restricting the areas available for oil and gas production. Failure to comply with these laws and regulations may result in substantial liabilities to third-parties or governmental entities. In addition, we may be liable for significant environmental damages and cleanup costs, without regard to fault, for releases of hazardous materials on or from property we own or operate, even if we did not cause or contribute to the release. We are also subject to changing and extensive tax laws, the effects of which cannot be predicted. The implementation of new, or the modification of existing, laws or regulations, could have a material adverse effect on us, such as by imposing new emission controls, penalties, fines and/or fees, taxes and tariffs on carbon that could have the effect of raising prices to the end user and thereby reducing the demand for our products.</w:t>
      </w:r>
    </w:p>
    <w:p>
      <w:pPr>
        <w:spacing w:after="0" w:line="66"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b w:val="1"/>
          <w:bCs w:val="1"/>
          <w:i w:val="1"/>
          <w:iCs w:val="1"/>
          <w:color w:val="auto"/>
        </w:rPr>
        <w:t>The risks arising out of the threat of climate change, including transition risks and physical risks, may adversely affect our business and results of operations.</w:t>
      </w:r>
    </w:p>
    <w:p>
      <w:pPr>
        <w:spacing w:after="0" w:line="170" w:lineRule="exact"/>
        <w:rPr>
          <w:sz w:val="20"/>
          <w:szCs w:val="20"/>
          <w:color w:val="auto"/>
        </w:rPr>
      </w:pPr>
    </w:p>
    <w:p>
      <w:pPr>
        <w:ind w:left="60" w:right="239"/>
        <w:spacing w:after="0" w:line="311" w:lineRule="auto"/>
        <w:rPr>
          <w:sz w:val="20"/>
          <w:szCs w:val="20"/>
          <w:color w:val="auto"/>
        </w:rPr>
      </w:pPr>
      <w:r>
        <w:rPr>
          <w:rFonts w:ascii="Arial" w:cs="Arial" w:eastAsia="Arial" w:hAnsi="Arial"/>
          <w:sz w:val="16"/>
          <w:szCs w:val="16"/>
          <w:color w:val="auto"/>
        </w:rPr>
        <w:t>The threat of climate change poses both transition risks and physical risks that could have a material adverse effect on us. Transition risks may arise from political and regulatory, legal, technological or financial changes as society tries to safeguard the climate, while physical risks may result from extreme weather events or other shifts in the natural world.</w:t>
      </w:r>
    </w:p>
    <w:p>
      <w:pPr>
        <w:spacing w:after="0" w:line="149" w:lineRule="exact"/>
        <w:rPr>
          <w:sz w:val="20"/>
          <w:szCs w:val="20"/>
          <w:color w:val="auto"/>
        </w:rPr>
      </w:pPr>
    </w:p>
    <w:p>
      <w:pPr>
        <w:ind w:left="60" w:right="119"/>
        <w:spacing w:after="0" w:line="270" w:lineRule="auto"/>
        <w:rPr>
          <w:sz w:val="20"/>
          <w:szCs w:val="20"/>
          <w:color w:val="auto"/>
        </w:rPr>
      </w:pPr>
      <w:r>
        <w:rPr>
          <w:rFonts w:ascii="Arial" w:cs="Arial" w:eastAsia="Arial" w:hAnsi="Arial"/>
          <w:sz w:val="17"/>
          <w:szCs w:val="17"/>
          <w:color w:val="auto"/>
        </w:rPr>
        <w:t>We have been facing increased political and regulatory risks as federal, state and local governments have adopted new measures to restrict sources of greenhouse gas emissions and promote energy alternatives. Many such measures have been proposed, and still more can be expected. From time to time, there are proposals to ban hydraulic fracturing of oil and natural gas wells and to remove more lands, both onshore and offshore, from new hydrocarbon production. Many other actions could be pursued such as more rigorous requirements for drilling and construction permits, stricter greenhouse gas emissions standards for both new and existing sources, further limits on construction of new pipelines, reinstatement of the ban on oil exports, enhanced reporting obligations, taxing carbon emissions and creating further incentives for use of alternative energy sources. These actions may cause operational delays or restrictions, increased operating costs and additional regulatory burdens.</w:t>
      </w:r>
    </w:p>
    <w:p>
      <w:pPr>
        <w:spacing w:after="0" w:line="181" w:lineRule="exact"/>
        <w:rPr>
          <w:sz w:val="20"/>
          <w:szCs w:val="20"/>
          <w:color w:val="auto"/>
        </w:rPr>
      </w:pPr>
    </w:p>
    <w:p>
      <w:pPr>
        <w:ind w:left="60" w:right="199"/>
        <w:spacing w:after="0" w:line="263" w:lineRule="auto"/>
        <w:rPr>
          <w:sz w:val="20"/>
          <w:szCs w:val="20"/>
          <w:color w:val="auto"/>
        </w:rPr>
      </w:pPr>
      <w:r>
        <w:rPr>
          <w:rFonts w:ascii="Arial" w:cs="Arial" w:eastAsia="Arial" w:hAnsi="Arial"/>
          <w:sz w:val="18"/>
          <w:szCs w:val="18"/>
          <w:color w:val="auto"/>
        </w:rPr>
        <w:t>Litigation risks are also increasing for oil and natural gas companies. A number of suits alleging, among other things, that oil and natural gas companies created public nuisances by producing fuels that contributed to climate change have been brought in state or federal court.</w:t>
      </w:r>
    </w:p>
    <w:p>
      <w:pPr>
        <w:spacing w:after="0" w:line="184"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color w:val="auto"/>
        </w:rPr>
        <w:t>Technological changes may drive market demand for products other than oil and natural gas. Wider adoption of hybrid engines and electric cars, for example, would reduce demand for our products. At the same time, our capital and operating costs may increase if we need to add new emission reduction technologies.</w:t>
      </w:r>
    </w:p>
    <w:p>
      <w:pPr>
        <w:spacing w:after="0" w:line="184" w:lineRule="exact"/>
        <w:rPr>
          <w:sz w:val="20"/>
          <w:szCs w:val="20"/>
          <w:color w:val="auto"/>
        </w:rPr>
      </w:pPr>
    </w:p>
    <w:p>
      <w:pPr>
        <w:ind w:left="60" w:right="79"/>
        <w:spacing w:after="0" w:line="296" w:lineRule="auto"/>
        <w:rPr>
          <w:sz w:val="20"/>
          <w:szCs w:val="20"/>
          <w:color w:val="auto"/>
        </w:rPr>
      </w:pPr>
      <w:r>
        <w:rPr>
          <w:rFonts w:ascii="Arial" w:cs="Arial" w:eastAsia="Arial" w:hAnsi="Arial"/>
          <w:sz w:val="16"/>
          <w:szCs w:val="16"/>
          <w:color w:val="auto"/>
        </w:rPr>
        <w:t>There are also financial risks for the petroleum industry. It may become more difficult for us to access the capital markets if the threat of climate change discourages new investment. Institutional lenders who provide financing to fossil-fuel energy companies also have become more attentive to sustainable lending practices, and some of them may elect not to provide funding for fossil fuel energy companies. Limitation of investments in and financings for the energy industry could result in the restriction, delay or cancellation of drilling programs or development or production activities.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59"/>
        <w:spacing w:after="0" w:line="311" w:lineRule="auto"/>
        <w:rPr>
          <w:sz w:val="20"/>
          <w:szCs w:val="20"/>
          <w:color w:val="auto"/>
        </w:rPr>
      </w:pPr>
      <w:r>
        <w:rPr>
          <w:rFonts w:ascii="Arial" w:cs="Arial" w:eastAsia="Arial" w:hAnsi="Arial"/>
          <w:sz w:val="16"/>
          <w:szCs w:val="16"/>
          <w:color w:val="auto"/>
        </w:rPr>
        <w:t>The threat of climate change also may subject our operations and business to severe weather or other natural hazards, such as flooding, drought, wildfires, and extreme temperatures. Any such event could halt production or exploration activities, damage equipment, disrupt transportation, reduce consumer demand and significantly increase our costs.</w:t>
      </w:r>
    </w:p>
    <w:p>
      <w:pPr>
        <w:spacing w:after="0" w:line="149"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b w:val="1"/>
          <w:bCs w:val="1"/>
          <w:i w:val="1"/>
          <w:iCs w:val="1"/>
          <w:color w:val="auto"/>
        </w:rPr>
        <w:t>Poor general economic, business, or industry conditions may have a material adverse effect on our results of operations, liquidity, and financial condition.</w:t>
      </w:r>
    </w:p>
    <w:p>
      <w:pPr>
        <w:spacing w:after="0" w:line="170"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During the last few years, concerns over inflation, energy costs, volatile oil and natural gas prices, geopolitical issues, the availability and cost of credit, the United States mortgage market, uncertainties with regard to European sovereign debt, the slowdown in economic growth in large emerging and developing markets, such as China, regional or worldwide increases in tariffs or other trade restrictions, and other issues have contributed to increased economic uncertainty and diminished expectations for the global economy. Concerns about global economic conditions have had a significant adverse impact on domestic and international financial markets and commodity prices. If uncertain or poor economic, business, or industry conditions in the United States or abroad remain prolonged, demand for petroleum products could diminish or stagnate, and production costs could increase. These situations could impact the price at which we can sell our oil, natural gas, and NGLs, affect our vendors’, suppliers’, and customers’ ability to continue operations, and ultimately adversely impact our results of operations, liquidity, and financial condition.</w:t>
      </w:r>
    </w:p>
    <w:p>
      <w:pPr>
        <w:spacing w:after="0" w:line="185" w:lineRule="exact"/>
        <w:rPr>
          <w:sz w:val="20"/>
          <w:szCs w:val="20"/>
          <w:color w:val="auto"/>
        </w:rPr>
      </w:pPr>
    </w:p>
    <w:p>
      <w:pPr>
        <w:ind w:left="60" w:right="539"/>
        <w:spacing w:after="0" w:line="381" w:lineRule="auto"/>
        <w:rPr>
          <w:sz w:val="20"/>
          <w:szCs w:val="20"/>
          <w:color w:val="auto"/>
        </w:rPr>
      </w:pPr>
      <w:r>
        <w:rPr>
          <w:rFonts w:ascii="Arial" w:cs="Arial" w:eastAsia="Arial" w:hAnsi="Arial"/>
          <w:sz w:val="15"/>
          <w:szCs w:val="15"/>
          <w:b w:val="1"/>
          <w:bCs w:val="1"/>
          <w:i w:val="1"/>
          <w:iCs w:val="1"/>
          <w:color w:val="auto"/>
        </w:rPr>
        <w:t>Events outside of our control, including a pandemic or broad outbreak of an infectious disease, such as the global outbreak of a novel strain of the coronavirus (“COVID-19”), may materially adversely affect our business.</w:t>
      </w:r>
    </w:p>
    <w:p>
      <w:pPr>
        <w:spacing w:after="0" w:line="100" w:lineRule="exact"/>
        <w:rPr>
          <w:sz w:val="20"/>
          <w:szCs w:val="20"/>
          <w:color w:val="auto"/>
        </w:rPr>
      </w:pPr>
    </w:p>
    <w:p>
      <w:pPr>
        <w:ind w:left="60" w:right="159"/>
        <w:spacing w:after="0" w:line="288" w:lineRule="auto"/>
        <w:rPr>
          <w:sz w:val="20"/>
          <w:szCs w:val="20"/>
          <w:color w:val="auto"/>
        </w:rPr>
      </w:pPr>
      <w:r>
        <w:rPr>
          <w:rFonts w:ascii="Arial" w:cs="Arial" w:eastAsia="Arial" w:hAnsi="Arial"/>
          <w:sz w:val="16"/>
          <w:szCs w:val="16"/>
          <w:color w:val="auto"/>
        </w:rPr>
        <w:t>We face risks related to pandemics, outbreaks, or other public health events that are outside of our control and could significantly disrupt our operations and adversely affect our financial condition. In December 2019, COVID-19 was identified in Wuhan, China and rapidly spread around the world. This virus and its variants, and governmental actions to contain it, had material adverse economic impacts globally. These and other actions could, among other things, impact the ability of our employees and contractors to perform their duties, cause increased technology and security risk due to extended and company-wide telecommuting, and lead to disruptions in our permitting activities and critical business relationships. Additionally, governmental restrictions intended to contain COVID-19 or future pandemics have in the past, and may in the future, significantly impact economic activity and markets and dramatically reduce actual or anticipated demand for oil and natural gas, adversely impacting the prices we receive for our production. The severity and duration of any such events are uncertain and difficult to predict, as is the extent that such events may have on our business.</w:t>
      </w:r>
    </w:p>
    <w:p>
      <w:pPr>
        <w:spacing w:after="0" w:line="168" w:lineRule="exact"/>
        <w:rPr>
          <w:sz w:val="20"/>
          <w:szCs w:val="20"/>
          <w:color w:val="auto"/>
        </w:rPr>
      </w:pPr>
    </w:p>
    <w:p>
      <w:pPr>
        <w:ind w:left="60" w:right="219"/>
        <w:spacing w:after="0" w:line="342" w:lineRule="auto"/>
        <w:rPr>
          <w:sz w:val="20"/>
          <w:szCs w:val="20"/>
          <w:color w:val="auto"/>
        </w:rPr>
      </w:pPr>
      <w:r>
        <w:rPr>
          <w:rFonts w:ascii="Arial" w:cs="Arial" w:eastAsia="Arial" w:hAnsi="Arial"/>
          <w:sz w:val="16"/>
          <w:szCs w:val="16"/>
          <w:b w:val="1"/>
          <w:bCs w:val="1"/>
          <w:i w:val="1"/>
          <w:iCs w:val="1"/>
          <w:color w:val="auto"/>
        </w:rPr>
        <w:t>Our business could be negatively affected by security threats. A cyber-attack or similar incident could occur and result in information theft, data corruption, operational disruption, damage to our reputation, and/or financial loss.</w:t>
      </w:r>
    </w:p>
    <w:p>
      <w:pPr>
        <w:spacing w:after="0" w:line="124" w:lineRule="exact"/>
        <w:rPr>
          <w:sz w:val="20"/>
          <w:szCs w:val="20"/>
          <w:color w:val="auto"/>
        </w:rPr>
      </w:pPr>
    </w:p>
    <w:p>
      <w:pPr>
        <w:ind w:left="60" w:right="99"/>
        <w:spacing w:after="0" w:line="285" w:lineRule="auto"/>
        <w:rPr>
          <w:sz w:val="20"/>
          <w:szCs w:val="20"/>
          <w:color w:val="auto"/>
        </w:rPr>
      </w:pPr>
      <w:r>
        <w:rPr>
          <w:rFonts w:ascii="Arial" w:cs="Arial" w:eastAsia="Arial" w:hAnsi="Arial"/>
          <w:sz w:val="16"/>
          <w:szCs w:val="16"/>
          <w:color w:val="auto"/>
        </w:rPr>
        <w:t>The oil and natural gas industry has become increasingly dependent on digital technologies to conduct certain exploration, development, production, processing, and financial activities. We depend on digital technology to estimate quantities of oil and natural gas reserves, manage operations, process and record financial and operating data, analyze seismic and drilling information, and communicate with our employees and third-party operators. Our technologies, systems, networks, seismic data, reserves information, or other proprietary information, and those of our operators, vendors, suppliers, customers, and other business partners may become the target of cyber-attacks or information security breaches. Cyber-attacks or information security breaches could result in the unauthorized release, gathering, monitoring, misuse, loss or destruction of proprietary and other information, or could otherwise lead to the disruption of our business operations or other operational disruptions in our exploration or production operations. Cyber-attacks are becoming more sophisticated and certain cyber incidents, such as surveillance, may remain undetected for an extended period and could lead to disruptions in critical systems or the unauthorized release of confidential or otherwise protected information. These events could lead to financial losses from remedial actions, loss of business, disruption of operations, damage to our reputation, or potential liability. Also, computers control nearly all of the oil and natural gas distribution systems in the United States and abroad. Computers are necessary to transport our oil and natural gas production to market. A cyber-attack directed at oil and natural gas distribution systems could damage critical distribution and storage assets or the environment, delay or prevent delivery of production to markets and make it difficult or impossible to accurately account for production and settle transactions. Cyber incidents have increased, and the United States government has issued warnings indicating that energy assets may be specific targets of cybersecurity threats. Our</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86" w:lineRule="auto"/>
        <w:rPr>
          <w:sz w:val="20"/>
          <w:szCs w:val="20"/>
          <w:color w:val="auto"/>
        </w:rPr>
      </w:pPr>
      <w:r>
        <w:rPr>
          <w:rFonts w:ascii="Arial" w:cs="Arial" w:eastAsia="Arial" w:hAnsi="Arial"/>
          <w:sz w:val="17"/>
          <w:szCs w:val="17"/>
          <w:color w:val="auto"/>
        </w:rPr>
        <w:t>systems and insurance coverage for protecting against cybersecurity risks may not be sufficient. Further, as cyber-attacks continue to evolve, we may be required to expend significant additional resources to continue to modify or enhance our protective measures or to investigate and remediate any vulnerability to cyber-attacks.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insurance may not protect us against all of the operating risks to which our business is exposed.</w:t>
      </w:r>
    </w:p>
    <w:p>
      <w:pPr>
        <w:spacing w:after="0" w:line="225" w:lineRule="exact"/>
        <w:rPr>
          <w:sz w:val="20"/>
          <w:szCs w:val="20"/>
          <w:color w:val="auto"/>
        </w:rPr>
      </w:pPr>
    </w:p>
    <w:p>
      <w:pPr>
        <w:ind w:left="60" w:right="239"/>
        <w:spacing w:after="0" w:line="271" w:lineRule="auto"/>
        <w:rPr>
          <w:sz w:val="20"/>
          <w:szCs w:val="20"/>
          <w:color w:val="auto"/>
        </w:rPr>
      </w:pPr>
      <w:r>
        <w:rPr>
          <w:rFonts w:ascii="Arial" w:cs="Arial" w:eastAsia="Arial" w:hAnsi="Arial"/>
          <w:sz w:val="17"/>
          <w:szCs w:val="17"/>
          <w:color w:val="auto"/>
        </w:rPr>
        <w:t>The oil and natural gas business involves numerous operating hazards such as well blowouts, mechanical failures, explosions, uncontrollable flows of oil, natural gas, or well fluids, fires, formations with abnormal pressures, hurricanes and storms, flooding, pollution, releases of toxic gas, and other environmental hazards and risks, which can result in (1) damage to or destruction of wells and/or production facilities, (2) damage to or destruction of formations, (3) injury to persons, (4) loss of life, or (5) damage to property, the environment or natural resources. While we carry general liability, control of well, and operator’s extra expense coverage typical in our industry, we are not fully insured against all risks incidental to our business. Should we experience any losses, the costs of our premiums may rise, which could in turn reduce the amount of insurance we are able to carry.</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loss of key personnel could adversely affect us.</w:t>
      </w:r>
    </w:p>
    <w:p>
      <w:pPr>
        <w:spacing w:after="0" w:line="225" w:lineRule="exact"/>
        <w:rPr>
          <w:sz w:val="20"/>
          <w:szCs w:val="20"/>
          <w:color w:val="auto"/>
        </w:rPr>
      </w:pPr>
    </w:p>
    <w:p>
      <w:pPr>
        <w:ind w:left="60" w:right="79"/>
        <w:spacing w:after="0" w:line="301" w:lineRule="auto"/>
        <w:rPr>
          <w:sz w:val="20"/>
          <w:szCs w:val="20"/>
          <w:color w:val="auto"/>
        </w:rPr>
      </w:pPr>
      <w:r>
        <w:rPr>
          <w:rFonts w:ascii="Arial" w:cs="Arial" w:eastAsia="Arial" w:hAnsi="Arial"/>
          <w:sz w:val="16"/>
          <w:szCs w:val="16"/>
          <w:color w:val="auto"/>
        </w:rPr>
        <w:t>We depend to a large extent on the services of certain key management personnel, including our executive officers. The loss of one or more key personnel could have a material adverse effect on our operations. In particular, our future success is dependent upon the abilities of our executive officers to source, evaluate, and close deals, raise capital, and oversee our development activities and operations. Presently, we are not a beneficiary of any key man life insurance.</w:t>
      </w:r>
    </w:p>
    <w:p>
      <w:pPr>
        <w:spacing w:after="0" w:line="157"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b w:val="1"/>
          <w:bCs w:val="1"/>
          <w:i w:val="1"/>
          <w:iCs w:val="1"/>
          <w:color w:val="auto"/>
        </w:rPr>
        <w:t>Oilfield service and materials prices may increase, and the availability of such services and materials may be inadequate to meet our needs.</w:t>
      </w:r>
    </w:p>
    <w:p>
      <w:pPr>
        <w:spacing w:after="0" w:line="170" w:lineRule="exact"/>
        <w:rPr>
          <w:sz w:val="20"/>
          <w:szCs w:val="20"/>
          <w:color w:val="auto"/>
        </w:rPr>
      </w:pPr>
    </w:p>
    <w:p>
      <w:pPr>
        <w:ind w:left="60" w:right="59"/>
        <w:spacing w:after="0" w:line="288" w:lineRule="auto"/>
        <w:rPr>
          <w:sz w:val="20"/>
          <w:szCs w:val="20"/>
          <w:color w:val="auto"/>
        </w:rPr>
      </w:pPr>
      <w:r>
        <w:rPr>
          <w:rFonts w:ascii="Arial" w:cs="Arial" w:eastAsia="Arial" w:hAnsi="Arial"/>
          <w:sz w:val="16"/>
          <w:szCs w:val="16"/>
          <w:color w:val="auto"/>
        </w:rPr>
        <w:t>Our business plan to develop or redevelop oil and natural gas resources requires third-party oilfield service vendors and various material providers, which we do not control. We also rely on third-party carriers for the transportation and distribution of our oil and natural gas production. As our production increases, so does our need for such services and materials. Generally, we do not have long-term agreements with our service and materials providers. Accordingly, there is a risk that any of our service providers could discontinue providing services for any reason or we may not be able to source the services or materials we need. Any delay in locating, establishing relationships, and training our sources could result in production shortages and maintenance problems, resulting in loss of revenue to us. In addition, if costs for such services and materials increase, it may render certain or all of our projects uneconomic, as compared to the earlier prices we may have assumed when deciding to redevelop newly purchased or existing properties. Further adverse economic outcomes may result from the long lead times often necessary to execute and complete our redevelopment plans.</w:t>
      </w:r>
    </w:p>
    <w:p>
      <w:pPr>
        <w:spacing w:after="0" w:line="168" w:lineRule="exact"/>
        <w:rPr>
          <w:sz w:val="20"/>
          <w:szCs w:val="20"/>
          <w:color w:val="auto"/>
        </w:rPr>
      </w:pPr>
    </w:p>
    <w:p>
      <w:pPr>
        <w:ind w:left="60" w:right="199"/>
        <w:spacing w:after="0" w:line="381" w:lineRule="auto"/>
        <w:rPr>
          <w:sz w:val="20"/>
          <w:szCs w:val="20"/>
          <w:color w:val="auto"/>
        </w:rPr>
      </w:pPr>
      <w:r>
        <w:rPr>
          <w:rFonts w:ascii="Arial" w:cs="Arial" w:eastAsia="Arial" w:hAnsi="Arial"/>
          <w:sz w:val="15"/>
          <w:szCs w:val="15"/>
          <w:b w:val="1"/>
          <w:bCs w:val="1"/>
          <w:i w:val="1"/>
          <w:iCs w:val="1"/>
          <w:color w:val="auto"/>
        </w:rPr>
        <w:t>We may assume risks and financial responsibility for drilling and completing wells on our Williston Basin properties if our third-party operator declines to drill wells and it or other joint interest owners elect not to participate.</w:t>
      </w:r>
    </w:p>
    <w:p>
      <w:pPr>
        <w:spacing w:after="0" w:line="100" w:lineRule="exact"/>
        <w:rPr>
          <w:sz w:val="20"/>
          <w:szCs w:val="20"/>
          <w:color w:val="auto"/>
        </w:rPr>
      </w:pPr>
    </w:p>
    <w:p>
      <w:pPr>
        <w:ind w:left="60" w:right="79"/>
        <w:spacing w:after="0" w:line="268" w:lineRule="auto"/>
        <w:rPr>
          <w:sz w:val="20"/>
          <w:szCs w:val="20"/>
          <w:color w:val="auto"/>
        </w:rPr>
      </w:pPr>
      <w:r>
        <w:rPr>
          <w:rFonts w:ascii="Arial" w:cs="Arial" w:eastAsia="Arial" w:hAnsi="Arial"/>
          <w:sz w:val="17"/>
          <w:szCs w:val="17"/>
          <w:color w:val="auto"/>
        </w:rPr>
        <w:t>As discussed elsewhere in this report, pursuant to agreements related to our interests in the Williston Basin properties, we have the ability to propose to the operator a drilling plan for certain wells, which the operator may accept or reject. In the event the operator rejects our proposed drilling plan, we have the right to undertake all necessary activities to drill and complete the wells and related facilities in accordance with our proposed drilling plan. In the event we undertake to do so, and the operator and other joint interest owners elect not to participate, we will bear the entire liability and expense associated with drilling and completing the wells and related facilities, subject only to our right to recoup costs incurred on behalf of non-participating joint interest owners to the extent a well generates sufficient revenues to do so. We thus may be required to bear a share of such expenses to an extent that is disproportionate to our economic interest in the property. If we elect to proceed to drill and complete wells we have proposed and the operator has rejected, we also will bear many of the other risks highlighted elsewhere herein, including, without limitation, failing to find economic quantities of oil and natural gas, drilling accidents, potential environmental liabilities, unavailability of insurance at a reasonable cost to cover associated liabilities, and price increases and delivery delays for required drilling and completion equipment, products and services. Ongoing operations of any wells we elect to drill will be turned over to the operator of the property upon completion.</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cannot market the oil and natural gas that we produce without the assistance of third-parties.</w:t>
      </w:r>
    </w:p>
    <w:p>
      <w:pPr>
        <w:spacing w:after="0" w:line="225" w:lineRule="exact"/>
        <w:rPr>
          <w:sz w:val="20"/>
          <w:szCs w:val="20"/>
          <w:color w:val="auto"/>
        </w:rPr>
      </w:pPr>
    </w:p>
    <w:p>
      <w:pPr>
        <w:ind w:left="60" w:right="99"/>
        <w:spacing w:after="0" w:line="296" w:lineRule="auto"/>
        <w:rPr>
          <w:sz w:val="20"/>
          <w:szCs w:val="20"/>
          <w:color w:val="auto"/>
        </w:rPr>
      </w:pPr>
      <w:r>
        <w:rPr>
          <w:rFonts w:ascii="Arial" w:cs="Arial" w:eastAsia="Arial" w:hAnsi="Arial"/>
          <w:sz w:val="16"/>
          <w:szCs w:val="16"/>
          <w:color w:val="auto"/>
        </w:rPr>
        <w:t>The marketability of the oil and natural gas that we produce depends upon the proximity of our reserves and production to, and the capacity of, facilities and third-party services, including oil and natural gas gathering systems, pipelines, trucking or terminal facilities, and processing facilities necessary to make the products marketable for end use. The unavailability or lack of capacity of such services and facilities could result in the shut-in of producing wells or the delay or discontinuance of development plans for properties. A shut-in, delay, or discontinuance could adversely affect our financial condition.</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face strong competition from larger oil and natural gas companies.</w:t>
      </w:r>
    </w:p>
    <w:p>
      <w:pPr>
        <w:spacing w:after="0" w:line="225" w:lineRule="exact"/>
        <w:rPr>
          <w:sz w:val="20"/>
          <w:szCs w:val="20"/>
          <w:color w:val="auto"/>
        </w:rPr>
      </w:pPr>
    </w:p>
    <w:p>
      <w:pPr>
        <w:ind w:left="60" w:right="159"/>
        <w:spacing w:after="0" w:line="289" w:lineRule="auto"/>
        <w:rPr>
          <w:sz w:val="20"/>
          <w:szCs w:val="20"/>
          <w:color w:val="auto"/>
        </w:rPr>
      </w:pPr>
      <w:r>
        <w:rPr>
          <w:rFonts w:ascii="Arial" w:cs="Arial" w:eastAsia="Arial" w:hAnsi="Arial"/>
          <w:sz w:val="16"/>
          <w:szCs w:val="16"/>
          <w:color w:val="auto"/>
        </w:rPr>
        <w:t>Our competitors include major integrated oil and natural gas companies, numerous larger independent oil and natural gas companies, individuals, and drilling and income programs. Many of our competitors are large, well-established companies with substantially larger operating staffs and greater capital resources. We may not be able to successfully conduct our operations, evaluate and select suitable properties, or consummate transactions in this highly competitive environment. Specifically, these larger competitors may be able to pay more for development projects and productive oil and natural gas properties and may be able to define, evaluate, bid for, and purchase a greater number of properties and prospects than our financial or human resources permit. In addition, such companies may be able to expend greater resources on hiring contract service providers, obtaining oilfield equipment, and acquiring the existing and changing technologies that we believe are, and will be, increasingly important to attaining success in our industry.</w:t>
      </w:r>
    </w:p>
    <w:p>
      <w:pPr>
        <w:spacing w:after="0" w:line="166"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b w:val="1"/>
          <w:bCs w:val="1"/>
          <w:i w:val="1"/>
          <w:iCs w:val="1"/>
          <w:color w:val="auto"/>
        </w:rPr>
        <w:t>We have been, and in the future may become, involved in legal proceedings related to our properties or operations and, as a result, may incur substantial costs in connection with those proceedings.</w:t>
      </w:r>
    </w:p>
    <w:p>
      <w:pPr>
        <w:spacing w:after="0" w:line="170"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From time to time we may be a defendant or plaintiff in various lawsuits. The nature of our operations exposes us to further possible litigation claims in the future. There is risk that any matter in litigation could be decided unfavorably against us regardless of our belief, opinion, and position, which could have a material adverse effect on our financial condition, results of operations, and cash flow. Litigation can be very costly, and the costs associated with defending litigation could also have a material adverse effect on our financial condition. Adverse litigation decisions or rulings may damage our business reputation.</w:t>
      </w:r>
    </w:p>
    <w:p>
      <w:pPr>
        <w:spacing w:after="0" w:line="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Ownership of our oil, natural gas, and mineral production depends on good title to our property.</w:t>
      </w:r>
    </w:p>
    <w:p>
      <w:pPr>
        <w:spacing w:after="0" w:line="117" w:lineRule="exact"/>
        <w:rPr>
          <w:sz w:val="20"/>
          <w:szCs w:val="20"/>
          <w:color w:val="auto"/>
        </w:rPr>
      </w:pPr>
    </w:p>
    <w:p>
      <w:pPr>
        <w:ind w:left="60" w:right="199"/>
        <w:spacing w:after="0" w:line="301" w:lineRule="auto"/>
        <w:rPr>
          <w:sz w:val="20"/>
          <w:szCs w:val="20"/>
          <w:color w:val="auto"/>
        </w:rPr>
      </w:pPr>
      <w:r>
        <w:rPr>
          <w:rFonts w:ascii="Arial" w:cs="Arial" w:eastAsia="Arial" w:hAnsi="Arial"/>
          <w:sz w:val="16"/>
          <w:szCs w:val="16"/>
          <w:color w:val="auto"/>
        </w:rPr>
        <w:t>Good and clear title to our oil, natural gas, and mineral properties is important to our business. Although title reviews will generally be conducted prior to the purchase of most oil, natural gas, and mineral producing properties or the commencement of drilling wells, such reviews do not assure that an unforeseen defect in the chain of title will not arise to defeat our claim. This could result in a reduction or elimination of the revenue received by us from such properties.</w:t>
      </w:r>
    </w:p>
    <w:p>
      <w:pPr>
        <w:spacing w:after="0" w:line="157" w:lineRule="exact"/>
        <w:rPr>
          <w:sz w:val="20"/>
          <w:szCs w:val="20"/>
          <w:color w:val="auto"/>
        </w:rPr>
      </w:pPr>
    </w:p>
    <w:p>
      <w:pPr>
        <w:ind w:left="60" w:right="219"/>
        <w:spacing w:after="0" w:line="308" w:lineRule="auto"/>
        <w:rPr>
          <w:sz w:val="20"/>
          <w:szCs w:val="20"/>
          <w:color w:val="auto"/>
        </w:rPr>
      </w:pPr>
      <w:r>
        <w:rPr>
          <w:rFonts w:ascii="Arial" w:cs="Arial" w:eastAsia="Arial" w:hAnsi="Arial"/>
          <w:sz w:val="17"/>
          <w:szCs w:val="17"/>
          <w:b w:val="1"/>
          <w:bCs w:val="1"/>
          <w:i w:val="1"/>
          <w:iCs w:val="1"/>
          <w:color w:val="auto"/>
        </w:rPr>
        <w:t>Unanticipated changes in effective tax rates or laws or adverse outcomes resulting from examination of our income or other tax returns could adversely affect our financial condition and results of operations.</w:t>
      </w:r>
    </w:p>
    <w:p>
      <w:pPr>
        <w:spacing w:after="0" w:line="146" w:lineRule="exact"/>
        <w:rPr>
          <w:sz w:val="20"/>
          <w:szCs w:val="20"/>
          <w:color w:val="auto"/>
        </w:rPr>
      </w:pPr>
    </w:p>
    <w:p>
      <w:pPr>
        <w:ind w:left="60" w:right="539"/>
        <w:spacing w:after="0" w:line="277" w:lineRule="auto"/>
        <w:rPr>
          <w:sz w:val="20"/>
          <w:szCs w:val="20"/>
          <w:color w:val="auto"/>
        </w:rPr>
      </w:pPr>
      <w:r>
        <w:rPr>
          <w:rFonts w:ascii="Arial" w:cs="Arial" w:eastAsia="Arial" w:hAnsi="Arial"/>
          <w:sz w:val="18"/>
          <w:szCs w:val="18"/>
          <w:color w:val="auto"/>
        </w:rPr>
        <w:t>We are subject to tax by U.S. federal, state, and local tax authorities. Our future effective tax rates could be subject to volatility or adversely affected by a number of factors, including:</w:t>
      </w:r>
    </w:p>
    <w:p>
      <w:pPr>
        <w:spacing w:after="0" w:line="170" w:lineRule="exact"/>
        <w:rPr>
          <w:sz w:val="20"/>
          <w:szCs w:val="20"/>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expected timing and amount of the release of any tax valuation allowances;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tax effects of stock-based compensation;</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related to intercompany restructurings; or</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tax laws, regulations, or interpretations thereof.</w:t>
      </w:r>
    </w:p>
    <w:p>
      <w:pPr>
        <w:spacing w:after="0" w:line="211" w:lineRule="exact"/>
        <w:rPr>
          <w:sz w:val="20"/>
          <w:szCs w:val="20"/>
          <w:color w:val="auto"/>
        </w:rPr>
      </w:pPr>
    </w:p>
    <w:p>
      <w:pPr>
        <w:ind w:left="60" w:right="119"/>
        <w:spacing w:after="0" w:line="296" w:lineRule="auto"/>
        <w:rPr>
          <w:sz w:val="20"/>
          <w:szCs w:val="20"/>
          <w:color w:val="auto"/>
        </w:rPr>
      </w:pPr>
      <w:r>
        <w:rPr>
          <w:rFonts w:ascii="Arial" w:cs="Arial" w:eastAsia="Arial" w:hAnsi="Arial"/>
          <w:sz w:val="16"/>
          <w:szCs w:val="16"/>
          <w:color w:val="auto"/>
        </w:rPr>
        <w:t>For example, in previous years, legislation has been proposed to eliminate or defer certain key U.S. federal income tax deductions historically available to oil and natural gas exploration and production companies. Such proposed changes have included: (1) a repeal of the percentage depletion allowance for oil and natural gas properties; (2) the elimination of deductions for intangible drilling and exploration and development costs; (3) the elimination of the deduction for certain production activities; and (4) an extension of the amortization period for certain geological and geophysical</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63" w:lineRule="auto"/>
        <w:rPr>
          <w:sz w:val="20"/>
          <w:szCs w:val="20"/>
          <w:color w:val="auto"/>
        </w:rPr>
      </w:pPr>
      <w:r>
        <w:rPr>
          <w:rFonts w:ascii="Arial" w:cs="Arial" w:eastAsia="Arial" w:hAnsi="Arial"/>
          <w:sz w:val="18"/>
          <w:szCs w:val="18"/>
          <w:color w:val="auto"/>
        </w:rPr>
        <w:t>expenditures. Under the current Administration there is an increased risk of the enactment of legislation that alters, eliminates, or defers these or other tax deductions utilized within the industry, which could adversely affect our business, financial condition, results of operations, and cash flows.</w:t>
      </w:r>
    </w:p>
    <w:p>
      <w:pPr>
        <w:spacing w:after="0" w:line="184" w:lineRule="exact"/>
        <w:rPr>
          <w:sz w:val="20"/>
          <w:szCs w:val="20"/>
          <w:color w:val="auto"/>
        </w:rPr>
      </w:pPr>
    </w:p>
    <w:p>
      <w:pPr>
        <w:ind w:left="60" w:right="359"/>
        <w:spacing w:after="0" w:line="263" w:lineRule="auto"/>
        <w:rPr>
          <w:sz w:val="20"/>
          <w:szCs w:val="20"/>
          <w:color w:val="auto"/>
        </w:rPr>
      </w:pPr>
      <w:r>
        <w:rPr>
          <w:rFonts w:ascii="Arial" w:cs="Arial" w:eastAsia="Arial" w:hAnsi="Arial"/>
          <w:sz w:val="18"/>
          <w:szCs w:val="18"/>
          <w:color w:val="auto"/>
        </w:rPr>
        <w:t>In addition, we may be subject to audits of its income, sales, and other transaction taxes by U.S. federal, state, and local taxing authorities. Outcomes from these audits could have an adverse effect on our financial condition and results of operations.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Associated with our Common Stock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stock price has been and may continue to be volatile.</w:t>
      </w:r>
    </w:p>
    <w:p>
      <w:pPr>
        <w:spacing w:after="0" w:line="225"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Our common stock has a relatively low trading volume and the market price has been, and is likely to continue to be, volatile. The variance in our stock price makes it difficult to forecast the stock price at which an investor may be able to buy or sell shares of our common stock. The market price for our common stock could be subject to fluctuations as a result of factors that are out of our control, such as:</w:t>
      </w:r>
    </w:p>
    <w:p>
      <w:pPr>
        <w:spacing w:after="0" w:line="187" w:lineRule="exact"/>
        <w:rPr>
          <w:sz w:val="20"/>
          <w:szCs w:val="20"/>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anticipated variations in our results of operations;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or fluctuations in the commodity prices of oil and natural gas;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conditions and trends in the oil and natural gas industry;</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redemption demands on institutional funds that hold our stock;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economic, political, and market conditions.</w:t>
      </w:r>
    </w:p>
    <w:p>
      <w:pPr>
        <w:spacing w:after="0" w:line="319" w:lineRule="exact"/>
        <w:rPr>
          <w:sz w:val="20"/>
          <w:szCs w:val="20"/>
          <w:color w:val="auto"/>
        </w:rPr>
      </w:pPr>
    </w:p>
    <w:p>
      <w:pPr>
        <w:jc w:val="both"/>
        <w:ind w:left="60" w:right="499"/>
        <w:spacing w:after="0" w:line="381" w:lineRule="auto"/>
        <w:rPr>
          <w:sz w:val="20"/>
          <w:szCs w:val="20"/>
          <w:color w:val="auto"/>
        </w:rPr>
      </w:pPr>
      <w:r>
        <w:rPr>
          <w:rFonts w:ascii="Arial" w:cs="Arial" w:eastAsia="Arial" w:hAnsi="Arial"/>
          <w:sz w:val="15"/>
          <w:szCs w:val="15"/>
          <w:b w:val="1"/>
          <w:bCs w:val="1"/>
          <w:i w:val="1"/>
          <w:iCs w:val="1"/>
          <w:color w:val="auto"/>
        </w:rPr>
        <w:t>Significant ownership of our common stock is concentrated in a small number of shareholders who may be able to affect the outcome of the election of our directors and all other matters submitted to our stockholders for approval.</w:t>
      </w:r>
    </w:p>
    <w:p>
      <w:pPr>
        <w:spacing w:after="0" w:line="100" w:lineRule="exact"/>
        <w:rPr>
          <w:sz w:val="20"/>
          <w:szCs w:val="20"/>
          <w:color w:val="auto"/>
        </w:rPr>
      </w:pPr>
    </w:p>
    <w:p>
      <w:pPr>
        <w:ind w:left="60" w:right="199"/>
        <w:spacing w:after="0" w:line="269" w:lineRule="auto"/>
        <w:rPr>
          <w:sz w:val="20"/>
          <w:szCs w:val="20"/>
          <w:color w:val="auto"/>
        </w:rPr>
      </w:pPr>
      <w:r>
        <w:rPr>
          <w:rFonts w:ascii="Arial" w:cs="Arial" w:eastAsia="Arial" w:hAnsi="Arial"/>
          <w:sz w:val="17"/>
          <w:szCs w:val="17"/>
          <w:color w:val="auto"/>
        </w:rPr>
        <w:t>As of June 30, 2023, our executive officers and directors, in the aggregate, beneficially owned approximately 2,959,269 million shares, or approximately 8.9% of our outstanding common stock and, based on recent filings with the SEC, we believe one large unaffiliated fund complex owned in excess of 8% of the outstanding shares of our common stock. As a result, a significant percentage of our common stock is concentrated in the hands of relatively few shareholders. These shareholders could potentially exercise significant influence over matters submitted to our stockholders for approval (including the election and removal of directors and any merger, consolidation or sale of all or substantially all of our assets). This concentration of ownership may have the effect of delaying, deferring, or preventing any matter that requires shareholder approval, including a change in control of our company, impede a merger, consolidation, takeover, or other business combination involving our company or discourage a potential acquirer from making a tender offer or otherwise attempting to obtain control of our company, which in turn could have an adverse effect on the market price of our common stock.</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market for our common stock is limited and may not provide adequate liquidity.</w:t>
      </w:r>
    </w:p>
    <w:p>
      <w:pPr>
        <w:spacing w:after="0" w:line="225" w:lineRule="exact"/>
        <w:rPr>
          <w:sz w:val="20"/>
          <w:szCs w:val="20"/>
          <w:color w:val="auto"/>
        </w:rPr>
      </w:pPr>
    </w:p>
    <w:p>
      <w:pPr>
        <w:ind w:left="60" w:right="399"/>
        <w:spacing w:after="0" w:line="286" w:lineRule="auto"/>
        <w:rPr>
          <w:sz w:val="20"/>
          <w:szCs w:val="20"/>
          <w:color w:val="auto"/>
        </w:rPr>
      </w:pPr>
      <w:r>
        <w:rPr>
          <w:rFonts w:ascii="Arial" w:cs="Arial" w:eastAsia="Arial" w:hAnsi="Arial"/>
          <w:sz w:val="17"/>
          <w:szCs w:val="17"/>
          <w:color w:val="auto"/>
        </w:rPr>
        <w:t>Our common stock trades on the NYSE American. Trading volume in our common stock is relatively low compared to larger companies. Our holders may find it more difficult to sell their shares, should they desire to do so, based on the trading volume and price of our stock at that time relative to the quantity of shares to be sold.</w:t>
      </w:r>
    </w:p>
    <w:p>
      <w:pPr>
        <w:spacing w:after="0" w:line="165"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reports about our business, or if they downgrade our stock, the price of our common stock could decline.</w:t>
      </w:r>
    </w:p>
    <w:p>
      <w:pPr>
        <w:spacing w:after="0" w:line="170" w:lineRule="exact"/>
        <w:rPr>
          <w:sz w:val="20"/>
          <w:szCs w:val="20"/>
          <w:color w:val="auto"/>
        </w:rPr>
      </w:pPr>
    </w:p>
    <w:p>
      <w:pPr>
        <w:ind w:left="60" w:right="79"/>
        <w:spacing w:after="0" w:line="296" w:lineRule="auto"/>
        <w:rPr>
          <w:sz w:val="20"/>
          <w:szCs w:val="20"/>
          <w:color w:val="auto"/>
        </w:rPr>
      </w:pPr>
      <w:r>
        <w:rPr>
          <w:rFonts w:ascii="Arial" w:cs="Arial" w:eastAsia="Arial" w:hAnsi="Arial"/>
          <w:sz w:val="16"/>
          <w:szCs w:val="16"/>
          <w:color w:val="auto"/>
        </w:rPr>
        <w:t>Small, relatively unknown companies can achieve visibility in the trading market through research and reports that industry or securities analysts publish. To our knowledge, only two research analysts actively cover our company. The limited number of published reports by securities analysts could limit the interest in our common stock and negatively affect our stock price. We do not have any control over the research and reports these analysts publish or whether they will be published at all. If any analyst who does cover us downgrades our stock, our stock price could decline. If any</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analyst ceases coverage of our company or fails to regularly publish reports on us, we could lose visibility in the financial markets, which in turn could cause our stock price to decline.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Payment of dividends on our common stock has been in the past, and could be in the future, reduced or eliminated.</w:t>
      </w:r>
    </w:p>
    <w:p>
      <w:pPr>
        <w:spacing w:after="0" w:line="248" w:lineRule="exact"/>
        <w:rPr>
          <w:sz w:val="20"/>
          <w:szCs w:val="20"/>
          <w:color w:val="auto"/>
        </w:rPr>
      </w:pPr>
    </w:p>
    <w:p>
      <w:pPr>
        <w:ind w:left="60" w:right="59"/>
        <w:spacing w:after="0" w:line="291" w:lineRule="auto"/>
        <w:rPr>
          <w:sz w:val="20"/>
          <w:szCs w:val="20"/>
          <w:color w:val="auto"/>
        </w:rPr>
      </w:pPr>
      <w:r>
        <w:rPr>
          <w:rFonts w:ascii="Arial" w:cs="Arial" w:eastAsia="Arial" w:hAnsi="Arial"/>
          <w:sz w:val="16"/>
          <w:szCs w:val="16"/>
          <w:color w:val="auto"/>
        </w:rPr>
        <w:t>Our Board of Directors declared cash dividends on our common stock for the first time in December 2013 and we have declared and paid quarterly cash dividends since that time. However, there is no certainty that dividends will be declared by our Board of Directors in the future. Any payment of cash dividends on our common stock in the future will be dependent upon the amount of funds legally available, our earnings, if any, our financial condition, our business plan, restrictions contained in current or future debt instruments, contractual covenants or arrangements we may enter into, our anticipated capital requirements, and other factors that our Board of Directors may think are relevant. Although it is our intent to maintain paying dividends to our shareholders, there is no guarantee that we will be able to do so.</w:t>
      </w:r>
    </w:p>
    <w:p>
      <w:pPr>
        <w:spacing w:after="0" w:line="166"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b w:val="1"/>
          <w:bCs w:val="1"/>
          <w:i w:val="1"/>
          <w:iCs w:val="1"/>
          <w:color w:val="auto"/>
        </w:rPr>
        <w:t>There may be future sales or issuances of our common stock, which will dilute the ownership interests of stockholders and may adversely affect the market price of our common stock.</w:t>
      </w:r>
    </w:p>
    <w:p>
      <w:pPr>
        <w:spacing w:after="0" w:line="170" w:lineRule="exact"/>
        <w:rPr>
          <w:sz w:val="20"/>
          <w:szCs w:val="20"/>
          <w:color w:val="auto"/>
        </w:rPr>
      </w:pPr>
    </w:p>
    <w:p>
      <w:pPr>
        <w:ind w:left="60" w:right="199"/>
        <w:spacing w:after="0" w:line="255" w:lineRule="auto"/>
        <w:rPr>
          <w:sz w:val="20"/>
          <w:szCs w:val="20"/>
          <w:color w:val="auto"/>
        </w:rPr>
      </w:pPr>
      <w:r>
        <w:rPr>
          <w:rFonts w:ascii="Arial" w:cs="Arial" w:eastAsia="Arial" w:hAnsi="Arial"/>
          <w:sz w:val="18"/>
          <w:szCs w:val="18"/>
          <w:color w:val="auto"/>
        </w:rPr>
        <w:t>We may in the future issue additional shares of common stock, including securities that are convertible into or exchangeable for, or that represent the right to receive, common stock or substantially similar securities, which may result in dilution to our stockholders. In addition, our stockholders may be further diluted by future issuances under our equity incentive plans. The market price of our common stock could decline as a result of sales or issuances of a large number of shares of our common stock or similar securities in the market after this offering or the perception that such sales or issuances could occur.</w:t>
      </w:r>
    </w:p>
    <w:p>
      <w:pPr>
        <w:spacing w:after="0" w:line="192" w:lineRule="exact"/>
        <w:rPr>
          <w:sz w:val="20"/>
          <w:szCs w:val="20"/>
          <w:color w:val="auto"/>
        </w:rPr>
      </w:pPr>
    </w:p>
    <w:p>
      <w:pPr>
        <w:ind w:left="60" w:right="559"/>
        <w:spacing w:after="0" w:line="277" w:lineRule="auto"/>
        <w:rPr>
          <w:sz w:val="20"/>
          <w:szCs w:val="20"/>
          <w:color w:val="auto"/>
        </w:rPr>
      </w:pPr>
      <w:r>
        <w:rPr>
          <w:rFonts w:ascii="Arial" w:cs="Arial" w:eastAsia="Arial" w:hAnsi="Arial"/>
          <w:sz w:val="18"/>
          <w:szCs w:val="18"/>
          <w:b w:val="1"/>
          <w:bCs w:val="1"/>
          <w:i w:val="1"/>
          <w:iCs w:val="1"/>
          <w:color w:val="auto"/>
        </w:rPr>
        <w:t>Non-U.S. holders may be subject to U.S. income tax and withholding tax with respect to gain on disposition of the Company’s common stock.</w:t>
      </w:r>
    </w:p>
    <w:p>
      <w:pPr>
        <w:spacing w:after="0" w:line="170"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We believe we are a U.S. real property holding corporation. As a result, Non-U.S. holders that own (or are treated as owning under constructive ownership rules) more than a specified amount of our common stock during a specified time period may be subject to U.S. federal income tax and withholding on a sale, exchange or other disposition of such common stock, and may be required to file a U.S. federal income tax return.</w:t>
      </w:r>
    </w:p>
    <w:p>
      <w:pPr>
        <w:spacing w:after="0" w:line="187"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b w:val="1"/>
          <w:bCs w:val="1"/>
          <w:i w:val="1"/>
          <w:iCs w:val="1"/>
          <w:color w:val="auto"/>
        </w:rPr>
        <w:t>Investor sentiment towards climate change, fossil fuels, sustainability, and other ESG matters could adversely affect our business and our stock price.</w:t>
      </w:r>
    </w:p>
    <w:p>
      <w:pPr>
        <w:spacing w:after="0" w:line="170" w:lineRule="exact"/>
        <w:rPr>
          <w:sz w:val="20"/>
          <w:szCs w:val="20"/>
          <w:color w:val="auto"/>
        </w:rPr>
      </w:pPr>
    </w:p>
    <w:p>
      <w:pPr>
        <w:ind w:left="60" w:right="99"/>
        <w:spacing w:after="0" w:line="270" w:lineRule="auto"/>
        <w:rPr>
          <w:sz w:val="20"/>
          <w:szCs w:val="20"/>
          <w:color w:val="auto"/>
        </w:rPr>
      </w:pPr>
      <w:r>
        <w:rPr>
          <w:rFonts w:ascii="Arial" w:cs="Arial" w:eastAsia="Arial" w:hAnsi="Arial"/>
          <w:sz w:val="17"/>
          <w:szCs w:val="17"/>
          <w:color w:val="auto"/>
        </w:rPr>
        <w:t>There have been efforts in recent years aimed at the investment community, including investment advisors, sovereign wealth funds, public pension funds, universities, and other groups, to promote the divestment of shares of fossil fuel companies, as well as to pressure lenders and other financial services companies to limit or curtail activities with fossil fuel companies. As a result, some financial intermediaries, investors, and other capital markets participants have reduced or ceased lending to, or investing in, companies that operate in industries with higher perceived environmental exposure, such as the oil and natural gas industry. For example, in December 2020, the State of New York announced that it will be divesting the state’s Common Retirement Fund from fossil fuels. If this or similar divestment efforts are continued, the price of our common stock or debt securities, and our ability to access capital markets or to otherwise obtain new investment or financing, may be negatively impacted.</w:t>
      </w:r>
    </w:p>
    <w:p>
      <w:pPr>
        <w:spacing w:after="0" w:line="181" w:lineRule="exact"/>
        <w:rPr>
          <w:sz w:val="20"/>
          <w:szCs w:val="20"/>
          <w:color w:val="auto"/>
        </w:rPr>
      </w:pPr>
    </w:p>
    <w:p>
      <w:pPr>
        <w:ind w:left="60" w:right="79"/>
        <w:spacing w:after="0" w:line="270" w:lineRule="auto"/>
        <w:rPr>
          <w:sz w:val="20"/>
          <w:szCs w:val="20"/>
          <w:color w:val="auto"/>
        </w:rPr>
      </w:pPr>
      <w:r>
        <w:rPr>
          <w:rFonts w:ascii="Arial" w:cs="Arial" w:eastAsia="Arial" w:hAnsi="Arial"/>
          <w:sz w:val="17"/>
          <w:szCs w:val="17"/>
          <w:color w:val="auto"/>
        </w:rPr>
        <w:t>Members of the investment community are also increasing their focus on ESG practices and disclosures, including practices and disclosures related to greenhouse gases and climate change in the energy industry in particular, and diversity and inclusion initiatives and governance standards among companies more generally. The SEC, for example, proposed new rules in 2022 that would require disclosure of various specific risks related to climate. The growing emphasis on ESG may lead the investment community to screen our ESG performance before investing in our common stock or debt securities or lending to us. Over the past few years there also has been an acceleration in investor demand for ESG investing opportunities, and many large institutional investors have committed to increasing the percentage of their portfolios that are allocated towards ESG-focused investments. As a result, there has been a proliferation of ESG-focused investment funds seeking ESG-oriented investment products.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79"/>
        <w:spacing w:after="0" w:line="286" w:lineRule="auto"/>
        <w:rPr>
          <w:sz w:val="20"/>
          <w:szCs w:val="20"/>
          <w:color w:val="auto"/>
        </w:rPr>
      </w:pPr>
      <w:r>
        <w:rPr>
          <w:rFonts w:ascii="Arial" w:cs="Arial" w:eastAsia="Arial" w:hAnsi="Arial"/>
          <w:sz w:val="17"/>
          <w:szCs w:val="17"/>
          <w:color w:val="auto"/>
        </w:rPr>
        <w:t>If we are unable to meet the ESG standards or investment or lending criteria set by these investors and funds, we may lose investors, investors may allocate a portion of their capital away from us, our cost of capital may increase, the price of our common stock may be negatively impacted, and our reputation may be negatively affected.</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left="60" w:right="339"/>
        <w:spacing w:after="0" w:line="263" w:lineRule="auto"/>
        <w:rPr>
          <w:sz w:val="20"/>
          <w:szCs w:val="20"/>
          <w:color w:val="auto"/>
        </w:rPr>
      </w:pPr>
      <w:r>
        <w:rPr>
          <w:rFonts w:ascii="Arial" w:cs="Arial" w:eastAsia="Arial" w:hAnsi="Arial"/>
          <w:sz w:val="18"/>
          <w:szCs w:val="18"/>
          <w:color w:val="auto"/>
        </w:rPr>
        <w:t xml:space="preserve">Information regarding our properties is included in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above and in Note 4, </w:t>
      </w:r>
      <w:r>
        <w:rPr>
          <w:rFonts w:ascii="Arial" w:cs="Arial" w:eastAsia="Arial" w:hAnsi="Arial"/>
          <w:sz w:val="18"/>
          <w:szCs w:val="18"/>
          <w:i w:val="1"/>
          <w:iCs w:val="1"/>
          <w:color w:val="auto"/>
        </w:rPr>
        <w:t>“Property and Equipment”</w:t>
      </w:r>
      <w:r>
        <w:rPr>
          <w:rFonts w:ascii="Arial" w:cs="Arial" w:eastAsia="Arial" w:hAnsi="Arial"/>
          <w:sz w:val="18"/>
          <w:szCs w:val="18"/>
          <w:color w:val="auto"/>
        </w:rPr>
        <w:t xml:space="preserve"> to our consolidated financial statements in Item 8. </w:t>
      </w:r>
      <w:r>
        <w:rPr>
          <w:rFonts w:ascii="Arial" w:cs="Arial" w:eastAsia="Arial" w:hAnsi="Arial"/>
          <w:sz w:val="18"/>
          <w:szCs w:val="18"/>
          <w:i w:val="1"/>
          <w:iCs w:val="1"/>
          <w:color w:val="auto"/>
        </w:rPr>
        <w:t>Consolidated Financial Statements and Supplementary Data</w:t>
      </w:r>
      <w:r>
        <w:rPr>
          <w:rFonts w:ascii="Arial" w:cs="Arial" w:eastAsia="Arial" w:hAnsi="Arial"/>
          <w:sz w:val="18"/>
          <w:szCs w:val="18"/>
          <w:color w:val="auto"/>
        </w:rPr>
        <w:t>, which information is incorporated herein by reference.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left="60" w:right="199"/>
        <w:spacing w:after="0" w:line="263" w:lineRule="auto"/>
        <w:rPr>
          <w:sz w:val="20"/>
          <w:szCs w:val="20"/>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our consolidated financial statements in Item 8.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and Supplementary Data </w:t>
      </w:r>
      <w:r>
        <w:rPr>
          <w:rFonts w:ascii="Arial" w:cs="Arial" w:eastAsia="Arial" w:hAnsi="Arial"/>
          <w:sz w:val="18"/>
          <w:szCs w:val="18"/>
          <w:color w:val="auto"/>
        </w:rPr>
        <w:t>for a description of any legal proceedings, which is incorporated herein by</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60" w:right="49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common stock is currently traded on the NYSE American stock exchange under the ticker symbol “EPM”.</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Shares Outstanding and Holders</w:t>
      </w:r>
    </w:p>
    <w:p>
      <w:pPr>
        <w:spacing w:after="0" w:line="121"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color w:val="auto"/>
        </w:rPr>
        <w:t>As of June 30, 2023, there were 33,247,523 shares of common stock issued and outstanding. As of September 1, 2023, there were approximately 219 registered shareholders of our common stock.</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60" w:right="459"/>
        <w:spacing w:after="0" w:line="277" w:lineRule="auto"/>
        <w:rPr>
          <w:sz w:val="20"/>
          <w:szCs w:val="20"/>
          <w:color w:val="auto"/>
        </w:rPr>
      </w:pPr>
      <w:r>
        <w:rPr>
          <w:rFonts w:ascii="Arial" w:cs="Arial" w:eastAsia="Arial" w:hAnsi="Arial"/>
          <w:sz w:val="18"/>
          <w:szCs w:val="18"/>
          <w:color w:val="auto"/>
        </w:rPr>
        <w:t>We began paying cash quarterly dividends on our common stock in December 2013. Over the last two fiscal years, we made the following cash dividends per share:</w:t>
      </w:r>
    </w:p>
    <w:p>
      <w:pPr>
        <w:spacing w:after="0" w:line="184" w:lineRule="exact"/>
        <w:rPr>
          <w:sz w:val="20"/>
          <w:szCs w:val="20"/>
          <w:color w:val="auto"/>
        </w:rPr>
      </w:pPr>
    </w:p>
    <w:tbl>
      <w:tblPr>
        <w:tblLayout w:type="fixed"/>
        <w:tblInd w:w="920" w:type="dxa"/>
        <w:tblCellMar>
          <w:top w:w="0" w:type="dxa"/>
          <w:left w:w="0" w:type="dxa"/>
          <w:bottom w:w="0" w:type="dxa"/>
          <w:right w:w="0" w:type="dxa"/>
        </w:tblCellMar>
      </w:tblPr>
      <w:tr>
        <w:trPr>
          <w:trHeight w:val="210"/>
        </w:trPr>
        <w:tc>
          <w:tcPr>
            <w:tcW w:w="3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ind w:right="64"/>
              <w:spacing w:after="0"/>
              <w:rPr>
                <w:sz w:val="20"/>
                <w:szCs w:val="20"/>
                <w:color w:val="auto"/>
              </w:rPr>
            </w:pPr>
            <w:r>
              <w:rPr>
                <w:rFonts w:ascii="Arial" w:cs="Arial" w:eastAsia="Arial" w:hAnsi="Arial"/>
                <w:sz w:val="16"/>
                <w:szCs w:val="16"/>
                <w:b w:val="1"/>
                <w:bCs w:val="1"/>
                <w:color w:val="auto"/>
              </w:rPr>
              <w:t>Fiscal Year</w:t>
            </w:r>
          </w:p>
        </w:tc>
        <w:tc>
          <w:tcPr>
            <w:tcW w:w="860" w:type="dxa"/>
            <w:vAlign w:val="bottom"/>
            <w:tcBorders>
              <w:bottom w:val="single" w:sz="8" w:color="auto"/>
            </w:tcBorders>
          </w:tcPr>
          <w:p>
            <w:pPr>
              <w:spacing w:after="0"/>
              <w:rPr>
                <w:sz w:val="18"/>
                <w:szCs w:val="18"/>
                <w:color w:val="auto"/>
              </w:rPr>
            </w:pPr>
          </w:p>
        </w:tc>
      </w:tr>
      <w:tr>
        <w:trPr>
          <w:trHeight w:val="202"/>
        </w:trPr>
        <w:tc>
          <w:tcPr>
            <w:tcW w:w="340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60" w:type="dxa"/>
            <w:vAlign w:val="bottom"/>
            <w:tcBorders>
              <w:bottom w:val="single" w:sz="8" w:color="auto"/>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r>
      <w:tr>
        <w:trPr>
          <w:trHeight w:val="196"/>
        </w:trPr>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Fourth quarter ended June 30,</w:t>
            </w:r>
          </w:p>
        </w:tc>
        <w:tc>
          <w:tcPr>
            <w:tcW w:w="10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82"/>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0.120</w:t>
            </w: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0.100</w:t>
            </w:r>
          </w:p>
        </w:tc>
      </w:tr>
      <w:tr>
        <w:trPr>
          <w:trHeight w:val="203"/>
        </w:trPr>
        <w:tc>
          <w:tcPr>
            <w:tcW w:w="3400" w:type="dxa"/>
            <w:vAlign w:val="bottom"/>
          </w:tcPr>
          <w:p>
            <w:pPr>
              <w:spacing w:after="0"/>
              <w:rPr>
                <w:sz w:val="20"/>
                <w:szCs w:val="20"/>
                <w:color w:val="auto"/>
              </w:rPr>
            </w:pPr>
            <w:r>
              <w:rPr>
                <w:rFonts w:ascii="Arial" w:cs="Arial" w:eastAsia="Arial" w:hAnsi="Arial"/>
                <w:sz w:val="16"/>
                <w:szCs w:val="16"/>
                <w:color w:val="auto"/>
              </w:rPr>
              <w:t>Third quarter ended March 31,</w:t>
            </w: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9"/>
              </w:rPr>
              <w:t>0.120</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0.100</w:t>
            </w:r>
          </w:p>
        </w:tc>
      </w:tr>
      <w:tr>
        <w:trPr>
          <w:trHeight w:val="203"/>
        </w:trPr>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Second quarter ended December 31,</w:t>
            </w:r>
          </w:p>
        </w:tc>
        <w:tc>
          <w:tcPr>
            <w:tcW w:w="10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0.120</w:t>
            </w: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0.075</w:t>
            </w:r>
          </w:p>
        </w:tc>
      </w:tr>
      <w:tr>
        <w:trPr>
          <w:trHeight w:val="206"/>
        </w:trPr>
        <w:tc>
          <w:tcPr>
            <w:tcW w:w="3400" w:type="dxa"/>
            <w:vAlign w:val="bottom"/>
          </w:tcPr>
          <w:p>
            <w:pPr>
              <w:spacing w:after="0"/>
              <w:rPr>
                <w:sz w:val="20"/>
                <w:szCs w:val="20"/>
                <w:color w:val="auto"/>
              </w:rPr>
            </w:pPr>
            <w:r>
              <w:rPr>
                <w:rFonts w:ascii="Arial" w:cs="Arial" w:eastAsia="Arial" w:hAnsi="Arial"/>
                <w:sz w:val="16"/>
                <w:szCs w:val="16"/>
                <w:color w:val="auto"/>
              </w:rPr>
              <w:t>First quarter ended September 30,</w:t>
            </w: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9"/>
              </w:rPr>
              <w:t>0.120</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0.075</w:t>
            </w:r>
          </w:p>
        </w:tc>
      </w:tr>
    </w:tbl>
    <w:p>
      <w:pPr>
        <w:spacing w:after="0" w:line="198"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color w:val="auto"/>
        </w:rPr>
        <w:t>As of June 30, 2023, we have paid 39 consecutive quarterly dividends on our common stock. In September 2023, the Company declared a $0.12 per share dividend payable on September 30, 2023. Any future determination with regard to the payment of dividends will be at the discretion of the Board of Directors and will be dependent upon our future earnings, financial condition, results of operations, applicable dividend restrictions, capital requirements, and other factors deemed relevant by the Board of Directors.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4"/>
              </w:rPr>
              <w:t>Number of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0"/>
              </w:rPr>
              <w:t>Number of securities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6"/>
              </w:rPr>
              <w:t>securities to</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4"/>
              </w:rPr>
              <w:t>remaining</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3"/>
              </w:rPr>
              <w:t>be issued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Weighted-average</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3"/>
              </w:rPr>
              <w:t>available for future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7"/>
              </w:rPr>
              <w:t>upon exercise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exercise</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88"/>
              </w:rPr>
              <w:t>issuance under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of outstanding</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price of</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89"/>
              </w:rPr>
              <w:t>equity compensation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6"/>
              </w:rPr>
              <w:t>options,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outstanding</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88"/>
              </w:rPr>
              <w:t>plans (excluding</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4"/>
              </w:rPr>
              <w:t>warrants and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Options, warrants</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87"/>
              </w:rPr>
              <w:t>securities reflected</w:t>
            </w:r>
          </w:p>
        </w:tc>
        <w:tc>
          <w:tcPr>
            <w:tcW w:w="0" w:type="dxa"/>
            <w:vAlign w:val="bottom"/>
          </w:tcPr>
          <w:p>
            <w:pPr>
              <w:spacing w:after="0"/>
              <w:rPr>
                <w:sz w:val="1"/>
                <w:szCs w:val="1"/>
                <w:color w:val="auto"/>
              </w:rPr>
            </w:pPr>
          </w:p>
        </w:tc>
      </w:tr>
      <w:tr>
        <w:trPr>
          <w:trHeight w:val="213"/>
        </w:trPr>
        <w:tc>
          <w:tcPr>
            <w:tcW w:w="4200" w:type="dxa"/>
            <w:vAlign w:val="bottom"/>
            <w:gridSpan w:val="4"/>
          </w:tcPr>
          <w:p>
            <w:pPr>
              <w:ind w:left="20"/>
              <w:spacing w:after="0"/>
              <w:rPr>
                <w:sz w:val="20"/>
                <w:szCs w:val="20"/>
                <w:color w:val="auto"/>
              </w:rPr>
            </w:pPr>
            <w:r>
              <w:rPr>
                <w:rFonts w:ascii="Arial" w:cs="Arial" w:eastAsia="Arial" w:hAnsi="Arial"/>
                <w:sz w:val="16"/>
                <w:szCs w:val="16"/>
                <w:b w:val="1"/>
                <w:bCs w:val="1"/>
                <w:color w:val="auto"/>
              </w:rPr>
              <w:t>Plan category</w:t>
            </w:r>
          </w:p>
        </w:tc>
        <w:tc>
          <w:tcPr>
            <w:tcW w:w="12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rights (a)</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and rights (b)</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3"/>
              </w:rPr>
              <w:t>in column (a))(1)</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222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Equity compensation plans approved by security holders:</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gridSpan w:val="3"/>
          </w:tcPr>
          <w:p>
            <w:pPr>
              <w:ind w:left="220"/>
              <w:spacing w:after="0"/>
              <w:rPr>
                <w:sz w:val="20"/>
                <w:szCs w:val="20"/>
                <w:color w:val="auto"/>
              </w:rPr>
            </w:pPr>
            <w:r>
              <w:rPr>
                <w:rFonts w:ascii="Arial" w:cs="Arial" w:eastAsia="Arial" w:hAnsi="Arial"/>
                <w:sz w:val="16"/>
                <w:szCs w:val="16"/>
                <w:color w:val="auto"/>
              </w:rPr>
              <w:t>Outstanding options</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00" w:type="dxa"/>
            <w:vAlign w:val="bottom"/>
            <w:gridSpan w:val="2"/>
          </w:tcPr>
          <w:p>
            <w:pPr>
              <w:ind w:left="1260"/>
              <w:spacing w:after="0"/>
              <w:rPr>
                <w:sz w:val="20"/>
                <w:szCs w:val="20"/>
                <w:color w:val="auto"/>
              </w:rPr>
            </w:pPr>
            <w:r>
              <w:rPr>
                <w:rFonts w:ascii="Arial" w:cs="Arial" w:eastAsia="Arial" w:hAnsi="Arial"/>
                <w:sz w:val="16"/>
                <w:szCs w:val="16"/>
                <w:color w:val="auto"/>
              </w:rPr>
              <w:t>—</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Outstanding contingent rights to shares</w:t>
            </w:r>
          </w:p>
        </w:tc>
        <w:tc>
          <w:tcPr>
            <w:tcW w:w="12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6"/>
                <w:szCs w:val="16"/>
                <w:color w:val="auto"/>
              </w:rPr>
              <w:t xml:space="preserve">96,398 </w:t>
            </w:r>
            <w:r>
              <w:rPr>
                <w:rFonts w:ascii="Arial" w:cs="Arial" w:eastAsia="Arial" w:hAnsi="Arial"/>
                <w:sz w:val="23"/>
                <w:szCs w:val="23"/>
                <w:i w:val="1"/>
                <w:iCs w:val="1"/>
                <w:color w:val="auto"/>
                <w:vertAlign w:val="superscript"/>
              </w:rPr>
              <w:t>(1)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ind w:left="126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80" w:type="dxa"/>
            <w:vAlign w:val="bottom"/>
            <w:gridSpan w:val="3"/>
          </w:tcPr>
          <w:p>
            <w:pPr>
              <w:ind w:left="100"/>
              <w:spacing w:after="0"/>
              <w:rPr>
                <w:sz w:val="20"/>
                <w:szCs w:val="20"/>
                <w:color w:val="auto"/>
              </w:rPr>
            </w:pPr>
            <w:r>
              <w:rPr>
                <w:rFonts w:ascii="Arial" w:cs="Arial" w:eastAsia="Arial" w:hAnsi="Arial"/>
                <w:sz w:val="16"/>
                <w:szCs w:val="16"/>
                <w:color w:val="auto"/>
              </w:rPr>
              <w:t>Total</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96,398</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ind w:left="1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1,277,898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gridSpan w:val="3"/>
            <w:shd w:val="clear" w:color="auto" w:fill="CCEEFF"/>
          </w:tcPr>
          <w:p>
            <w:pPr>
              <w:spacing w:after="0"/>
              <w:rPr>
                <w:sz w:val="20"/>
                <w:szCs w:val="20"/>
                <w:color w:val="auto"/>
              </w:rPr>
            </w:pPr>
            <w:r>
              <w:rPr>
                <w:rFonts w:ascii="Arial" w:cs="Arial" w:eastAsia="Arial" w:hAnsi="Arial"/>
                <w:sz w:val="16"/>
                <w:szCs w:val="16"/>
                <w:color w:val="auto"/>
                <w:w w:val="97"/>
              </w:rPr>
              <w:t>Equity compensation plans not approved by security holders</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ind w:left="126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80" w:type="dxa"/>
            <w:vAlign w:val="bottom"/>
            <w:gridSpan w:val="3"/>
          </w:tcPr>
          <w:p>
            <w:pPr>
              <w:spacing w:after="0"/>
              <w:rPr>
                <w:sz w:val="20"/>
                <w:szCs w:val="20"/>
                <w:color w:val="auto"/>
              </w:rPr>
            </w:pPr>
            <w:r>
              <w:rPr>
                <w:rFonts w:ascii="Arial" w:cs="Arial" w:eastAsia="Arial" w:hAnsi="Arial"/>
                <w:sz w:val="16"/>
                <w:szCs w:val="16"/>
                <w:b w:val="1"/>
                <w:bCs w:val="1"/>
                <w:color w:val="auto"/>
              </w:rPr>
              <w:t>Total</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96,398</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80" w:type="dxa"/>
            <w:vAlign w:val="bottom"/>
            <w:tcBorders>
              <w:top w:val="single" w:sz="8" w:color="auto"/>
              <w:bottom w:val="single" w:sz="8" w:color="auto"/>
            </w:tcBorders>
          </w:tcPr>
          <w:p>
            <w:pPr>
              <w:ind w:left="1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1,277,898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1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jc w:val="both"/>
        <w:ind w:left="380" w:right="399" w:hanging="330"/>
        <w:spacing w:after="0" w:line="305" w:lineRule="auto"/>
        <w:tabs>
          <w:tab w:leader="none" w:pos="380" w:val="left"/>
        </w:tabs>
        <w:numPr>
          <w:ilvl w:val="0"/>
          <w:numId w:val="21"/>
        </w:numPr>
        <w:rPr>
          <w:rFonts w:ascii="Arial" w:cs="Arial" w:eastAsia="Arial" w:hAnsi="Arial"/>
          <w:sz w:val="15"/>
          <w:szCs w:val="15"/>
          <w:i w:val="1"/>
          <w:iCs w:val="1"/>
          <w:color w:val="auto"/>
        </w:rPr>
      </w:pPr>
      <w:r>
        <w:rPr>
          <w:rFonts w:ascii="Arial" w:cs="Arial" w:eastAsia="Arial" w:hAnsi="Arial"/>
          <w:sz w:val="15"/>
          <w:szCs w:val="15"/>
          <w:color w:val="auto"/>
        </w:rPr>
        <w:t>The Evolution Petroleum Corporation 2016 Equity Incentive Plan (as amended, the “2016 Plan”) authorizes the issuance of 3.6 million shares of common stock prior to its expiration on December 8, 2026. As of June 30, 2023, we have granted 2.3 million equity awards under the 2016 Plan and 1.3 million shares of common stock remain available for future grants.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The table below summarizes information about the Company’s purchases of its equity securities during the three months ended June 30, 2023.</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1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(c) Total number</w:t>
            </w:r>
          </w:p>
        </w:tc>
        <w:tc>
          <w:tcPr>
            <w:tcW w:w="18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(d) Maximum dollar value</w:t>
            </w:r>
          </w:p>
        </w:tc>
      </w:tr>
      <w:tr>
        <w:trPr>
          <w:trHeight w:val="203"/>
        </w:trPr>
        <w:tc>
          <w:tcPr>
            <w:tcW w:w="1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4"/>
              </w:rPr>
              <w:t>(a) Total number</w:t>
            </w: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4"/>
              </w:rPr>
              <w:t>of shares</w:t>
            </w:r>
          </w:p>
        </w:tc>
        <w:tc>
          <w:tcPr>
            <w:tcW w:w="8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89"/>
              </w:rPr>
              <w:t>of shares that may yet be</w:t>
            </w:r>
          </w:p>
        </w:tc>
      </w:tr>
      <w:tr>
        <w:trPr>
          <w:trHeight w:val="203"/>
        </w:trPr>
        <w:tc>
          <w:tcPr>
            <w:tcW w:w="1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7"/>
              </w:rPr>
              <w:t>of shares</w:t>
            </w: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purchased as part</w:t>
            </w:r>
          </w:p>
        </w:tc>
        <w:tc>
          <w:tcPr>
            <w:tcW w:w="8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 under the</w:t>
            </w:r>
          </w:p>
        </w:tc>
      </w:tr>
      <w:tr>
        <w:trPr>
          <w:trHeight w:val="189"/>
        </w:trPr>
        <w:tc>
          <w:tcPr>
            <w:tcW w:w="1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9"/>
              </w:rPr>
              <w:t>purchased and</w:t>
            </w:r>
          </w:p>
        </w:tc>
        <w:tc>
          <w:tcPr>
            <w:tcW w:w="1500" w:type="dxa"/>
            <w:vAlign w:val="bottom"/>
            <w:gridSpan w:val="3"/>
          </w:tcPr>
          <w:p>
            <w:pPr>
              <w:ind w:left="40"/>
              <w:spacing w:after="0"/>
              <w:rPr>
                <w:sz w:val="20"/>
                <w:szCs w:val="20"/>
                <w:color w:val="auto"/>
              </w:rPr>
            </w:pPr>
            <w:r>
              <w:rPr>
                <w:rFonts w:ascii="Arial" w:cs="Arial" w:eastAsia="Arial" w:hAnsi="Arial"/>
                <w:sz w:val="16"/>
                <w:szCs w:val="16"/>
                <w:b w:val="1"/>
                <w:bCs w:val="1"/>
                <w:color w:val="auto"/>
              </w:rPr>
              <w:t>(b) Average price</w:t>
            </w:r>
          </w:p>
        </w:tc>
        <w:tc>
          <w:tcPr>
            <w:tcW w:w="19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of public announced</w:t>
            </w:r>
          </w:p>
        </w:tc>
        <w:tc>
          <w:tcPr>
            <w:tcW w:w="8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1"/>
              </w:rPr>
              <w:t>plans or programs</w:t>
            </w:r>
          </w:p>
        </w:tc>
      </w:tr>
      <w:tr>
        <w:trPr>
          <w:trHeight w:val="230"/>
        </w:trPr>
        <w:tc>
          <w:tcPr>
            <w:tcW w:w="2120" w:type="dxa"/>
            <w:vAlign w:val="bottom"/>
            <w:gridSpan w:val="2"/>
          </w:tcPr>
          <w:p>
            <w:pPr>
              <w:ind w:left="20"/>
              <w:spacing w:after="0"/>
              <w:rPr>
                <w:sz w:val="20"/>
                <w:szCs w:val="20"/>
                <w:color w:val="auto"/>
              </w:rPr>
            </w:pPr>
            <w:r>
              <w:rPr>
                <w:rFonts w:ascii="Arial" w:cs="Arial" w:eastAsia="Arial" w:hAnsi="Arial"/>
                <w:sz w:val="16"/>
                <w:szCs w:val="16"/>
                <w:b w:val="1"/>
                <w:bCs w:val="1"/>
                <w:color w:val="auto"/>
              </w:rPr>
              <w:t>Period</w:t>
            </w:r>
          </w:p>
        </w:tc>
        <w:tc>
          <w:tcPr>
            <w:tcW w:w="120" w:type="dxa"/>
            <w:vAlign w:val="bottom"/>
          </w:tcPr>
          <w:p>
            <w:pPr>
              <w:spacing w:after="0"/>
              <w:rPr>
                <w:sz w:val="20"/>
                <w:szCs w:val="20"/>
                <w:color w:val="auto"/>
              </w:rPr>
            </w:pPr>
          </w:p>
        </w:tc>
        <w:tc>
          <w:tcPr>
            <w:tcW w:w="1340" w:type="dxa"/>
            <w:vAlign w:val="bottom"/>
            <w:gridSpan w:val="2"/>
          </w:tcPr>
          <w:p>
            <w:pPr>
              <w:jc w:val="center"/>
              <w:ind w:right="360"/>
              <w:spacing w:after="0" w:line="230" w:lineRule="exact"/>
              <w:rPr>
                <w:sz w:val="20"/>
                <w:szCs w:val="20"/>
                <w:color w:val="auto"/>
              </w:rPr>
            </w:pPr>
            <w:r>
              <w:rPr>
                <w:rFonts w:ascii="Arial" w:cs="Arial" w:eastAsia="Arial" w:hAnsi="Arial"/>
                <w:sz w:val="16"/>
                <w:szCs w:val="16"/>
                <w:b w:val="1"/>
                <w:bCs w:val="1"/>
                <w:color w:val="auto"/>
                <w:w w:val="83"/>
              </w:rPr>
              <w:t xml:space="preserve">received </w:t>
            </w:r>
            <w:r>
              <w:rPr>
                <w:rFonts w:ascii="Arial" w:cs="Arial" w:eastAsia="Arial" w:hAnsi="Arial"/>
                <w:sz w:val="24"/>
                <w:szCs w:val="24"/>
                <w:b w:val="1"/>
                <w:bCs w:val="1"/>
                <w:color w:val="auto"/>
                <w:w w:val="83"/>
                <w:vertAlign w:val="superscript"/>
              </w:rPr>
              <w:t>(1)</w:t>
            </w:r>
          </w:p>
        </w:tc>
        <w:tc>
          <w:tcPr>
            <w:tcW w:w="1500" w:type="dxa"/>
            <w:vAlign w:val="bottom"/>
            <w:gridSpan w:val="3"/>
          </w:tcPr>
          <w:p>
            <w:pPr>
              <w:ind w:left="40"/>
              <w:spacing w:after="0" w:line="230" w:lineRule="exact"/>
              <w:rPr>
                <w:sz w:val="20"/>
                <w:szCs w:val="20"/>
                <w:color w:val="auto"/>
              </w:rPr>
            </w:pPr>
            <w:r>
              <w:rPr>
                <w:rFonts w:ascii="Arial" w:cs="Arial" w:eastAsia="Arial" w:hAnsi="Arial"/>
                <w:sz w:val="16"/>
                <w:szCs w:val="16"/>
                <w:b w:val="1"/>
                <w:bCs w:val="1"/>
                <w:color w:val="auto"/>
              </w:rPr>
              <w:t xml:space="preserve">paid per share </w:t>
            </w:r>
            <w:r>
              <w:rPr>
                <w:rFonts w:ascii="Arial" w:cs="Arial" w:eastAsia="Arial" w:hAnsi="Arial"/>
                <w:sz w:val="24"/>
                <w:szCs w:val="24"/>
                <w:b w:val="1"/>
                <w:bCs w:val="1"/>
                <w:color w:val="auto"/>
                <w:vertAlign w:val="superscript"/>
              </w:rPr>
              <w:t>(1)</w:t>
            </w:r>
          </w:p>
        </w:tc>
        <w:tc>
          <w:tcPr>
            <w:tcW w:w="1940" w:type="dxa"/>
            <w:vAlign w:val="bottom"/>
            <w:gridSpan w:val="2"/>
          </w:tcPr>
          <w:p>
            <w:pPr>
              <w:jc w:val="center"/>
              <w:ind w:right="240"/>
              <w:spacing w:after="0" w:line="230" w:lineRule="exact"/>
              <w:rPr>
                <w:sz w:val="20"/>
                <w:szCs w:val="20"/>
                <w:color w:val="auto"/>
              </w:rPr>
            </w:pPr>
            <w:r>
              <w:rPr>
                <w:rFonts w:ascii="Arial" w:cs="Arial" w:eastAsia="Arial" w:hAnsi="Arial"/>
                <w:sz w:val="16"/>
                <w:szCs w:val="16"/>
                <w:b w:val="1"/>
                <w:bCs w:val="1"/>
                <w:color w:val="auto"/>
                <w:w w:val="88"/>
              </w:rPr>
              <w:t>plans or programs</w:t>
            </w:r>
            <w:r>
              <w:rPr>
                <w:rFonts w:ascii="Arial" w:cs="Arial" w:eastAsia="Arial" w:hAnsi="Arial"/>
                <w:sz w:val="24"/>
                <w:szCs w:val="24"/>
                <w:b w:val="1"/>
                <w:bCs w:val="1"/>
                <w:color w:val="auto"/>
                <w:w w:val="88"/>
                <w:vertAlign w:val="superscript"/>
              </w:rPr>
              <w:t>(2)</w:t>
            </w:r>
          </w:p>
        </w:tc>
        <w:tc>
          <w:tcPr>
            <w:tcW w:w="80" w:type="dxa"/>
            <w:vAlign w:val="bottom"/>
          </w:tcPr>
          <w:p>
            <w:pPr>
              <w:spacing w:after="0"/>
              <w:rPr>
                <w:sz w:val="20"/>
                <w:szCs w:val="20"/>
                <w:color w:val="auto"/>
              </w:rPr>
            </w:pPr>
          </w:p>
        </w:tc>
        <w:tc>
          <w:tcPr>
            <w:tcW w:w="1800" w:type="dxa"/>
            <w:vAlign w:val="bottom"/>
          </w:tcPr>
          <w:p>
            <w:pPr>
              <w:jc w:val="center"/>
              <w:spacing w:after="0" w:line="230" w:lineRule="exact"/>
              <w:rPr>
                <w:sz w:val="20"/>
                <w:szCs w:val="20"/>
                <w:color w:val="auto"/>
              </w:rPr>
            </w:pPr>
            <w:r>
              <w:rPr>
                <w:rFonts w:ascii="Arial" w:cs="Arial" w:eastAsia="Arial" w:hAnsi="Arial"/>
                <w:sz w:val="16"/>
                <w:szCs w:val="16"/>
                <w:b w:val="1"/>
                <w:bCs w:val="1"/>
                <w:color w:val="auto"/>
                <w:w w:val="86"/>
              </w:rPr>
              <w:t>(in thousands)</w:t>
            </w:r>
            <w:r>
              <w:rPr>
                <w:rFonts w:ascii="Arial" w:cs="Arial" w:eastAsia="Arial" w:hAnsi="Arial"/>
                <w:sz w:val="24"/>
                <w:szCs w:val="24"/>
                <w:b w:val="1"/>
                <w:bCs w:val="1"/>
                <w:color w:val="auto"/>
                <w:w w:val="86"/>
                <w:vertAlign w:val="superscript"/>
              </w:rPr>
              <w:t>(2)</w:t>
            </w:r>
          </w:p>
        </w:tc>
      </w:tr>
      <w:tr>
        <w:trPr>
          <w:trHeight w:val="196"/>
        </w:trPr>
        <w:tc>
          <w:tcPr>
            <w:tcW w:w="1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April 2023</w:t>
            </w:r>
          </w:p>
        </w:tc>
        <w:tc>
          <w:tcPr>
            <w:tcW w:w="2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2,223</w:t>
            </w:r>
          </w:p>
        </w:tc>
        <w:tc>
          <w:tcPr>
            <w:tcW w:w="2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341"/>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6.89</w:t>
            </w:r>
          </w:p>
        </w:tc>
        <w:tc>
          <w:tcPr>
            <w:tcW w:w="22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ind w:left="1500"/>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21,152</w:t>
            </w:r>
          </w:p>
        </w:tc>
      </w:tr>
      <w:tr>
        <w:trPr>
          <w:trHeight w:val="203"/>
        </w:trPr>
        <w:tc>
          <w:tcPr>
            <w:tcW w:w="2120" w:type="dxa"/>
            <w:vAlign w:val="bottom"/>
            <w:gridSpan w:val="2"/>
          </w:tcPr>
          <w:p>
            <w:pPr>
              <w:ind w:left="20"/>
              <w:spacing w:after="0"/>
              <w:rPr>
                <w:sz w:val="20"/>
                <w:szCs w:val="20"/>
                <w:color w:val="auto"/>
              </w:rPr>
            </w:pPr>
            <w:r>
              <w:rPr>
                <w:rFonts w:ascii="Arial" w:cs="Arial" w:eastAsia="Arial" w:hAnsi="Arial"/>
                <w:sz w:val="16"/>
                <w:szCs w:val="16"/>
                <w:color w:val="auto"/>
              </w:rPr>
              <w:t>May 2023</w:t>
            </w:r>
          </w:p>
        </w:tc>
        <w:tc>
          <w:tcPr>
            <w:tcW w:w="120" w:type="dxa"/>
            <w:vAlign w:val="bottom"/>
          </w:tcPr>
          <w:p>
            <w:pPr>
              <w:spacing w:after="0"/>
              <w:rPr>
                <w:sz w:val="17"/>
                <w:szCs w:val="17"/>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940" w:type="dxa"/>
            <w:vAlign w:val="bottom"/>
            <w:gridSpan w:val="2"/>
          </w:tcPr>
          <w:p>
            <w:pPr>
              <w:ind w:left="15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21,152</w:t>
            </w:r>
          </w:p>
        </w:tc>
      </w:tr>
      <w:tr>
        <w:trPr>
          <w:trHeight w:val="203"/>
        </w:trPr>
        <w:tc>
          <w:tcPr>
            <w:tcW w:w="2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June 2023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21,163</w:t>
            </w: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w:t>
            </w:r>
          </w:p>
        </w:tc>
        <w:tc>
          <w:tcPr>
            <w:tcW w:w="22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15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21,152</w:t>
            </w:r>
          </w:p>
        </w:tc>
      </w:tr>
      <w:tr>
        <w:trPr>
          <w:trHeight w:val="135"/>
        </w:trPr>
        <w:tc>
          <w:tcPr>
            <w:tcW w:w="18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tcPr>
          <w:p>
            <w:pPr>
              <w:spacing w:after="0"/>
              <w:rPr>
                <w:sz w:val="11"/>
                <w:szCs w:val="11"/>
                <w:color w:val="auto"/>
              </w:rPr>
            </w:pPr>
          </w:p>
        </w:tc>
      </w:tr>
    </w:tbl>
    <w:p>
      <w:pPr>
        <w:spacing w:after="0" w:line="98" w:lineRule="exact"/>
        <w:rPr>
          <w:sz w:val="20"/>
          <w:szCs w:val="20"/>
          <w:color w:val="auto"/>
        </w:rPr>
      </w:pPr>
    </w:p>
    <w:p>
      <w:pPr>
        <w:ind w:left="380" w:right="319" w:hanging="330"/>
        <w:spacing w:after="0" w:line="265" w:lineRule="auto"/>
        <w:tabs>
          <w:tab w:leader="none" w:pos="380" w:val="left"/>
        </w:tabs>
        <w:numPr>
          <w:ilvl w:val="0"/>
          <w:numId w:val="22"/>
        </w:numPr>
        <w:rPr>
          <w:rFonts w:ascii="Arial" w:cs="Arial" w:eastAsia="Arial" w:hAnsi="Arial"/>
          <w:sz w:val="16"/>
          <w:szCs w:val="16"/>
          <w:i w:val="1"/>
          <w:iCs w:val="1"/>
          <w:color w:val="auto"/>
        </w:rPr>
      </w:pPr>
      <w:r>
        <w:rPr>
          <w:rFonts w:ascii="Arial" w:cs="Arial" w:eastAsia="Arial" w:hAnsi="Arial"/>
          <w:sz w:val="16"/>
          <w:szCs w:val="16"/>
          <w:color w:val="auto"/>
        </w:rPr>
        <w:t>During the three months ended June 30, 2023, no shares were purchased under the share repurchase program, discussed further below. All of the shares listed in the table above were surrendered by employees in exchange for the payment of tax withholding upon the vesting of restricted stock awards.</w:t>
      </w:r>
    </w:p>
    <w:p>
      <w:pPr>
        <w:spacing w:after="0" w:line="1" w:lineRule="exact"/>
        <w:rPr>
          <w:rFonts w:ascii="Arial" w:cs="Arial" w:eastAsia="Arial" w:hAnsi="Arial"/>
          <w:sz w:val="16"/>
          <w:szCs w:val="16"/>
          <w:i w:val="1"/>
          <w:iCs w:val="1"/>
          <w:color w:val="auto"/>
        </w:rPr>
      </w:pPr>
    </w:p>
    <w:p>
      <w:pPr>
        <w:ind w:left="380" w:right="139" w:hanging="330"/>
        <w:spacing w:after="0" w:line="307" w:lineRule="auto"/>
        <w:tabs>
          <w:tab w:leader="none" w:pos="380" w:val="left"/>
        </w:tabs>
        <w:numPr>
          <w:ilvl w:val="0"/>
          <w:numId w:val="22"/>
        </w:numPr>
        <w:rPr>
          <w:rFonts w:ascii="Arial" w:cs="Arial" w:eastAsia="Arial" w:hAnsi="Arial"/>
          <w:sz w:val="14"/>
          <w:szCs w:val="14"/>
          <w:i w:val="1"/>
          <w:iCs w:val="1"/>
          <w:color w:val="auto"/>
        </w:rPr>
      </w:pPr>
      <w:r>
        <w:rPr>
          <w:rFonts w:ascii="Arial" w:cs="Arial" w:eastAsia="Arial" w:hAnsi="Arial"/>
          <w:sz w:val="14"/>
          <w:szCs w:val="14"/>
          <w:color w:val="auto"/>
        </w:rPr>
        <w:t>On September 8, 2022, the Company’s Board of Directors approved a share repurchase program, under which the Company is authorized to repurchase up to $25.0 million of its common stock in the open market through December 31, 2024. The shares may be repurchased from time to time in open market transactions, through privately negotiated transactions or by other means in accordance with federal securities laws. The timing, as well as the number and value of shares repurchased under the program, will depend on a variety of factors, including management’s assessment of the intrinsic value of the Company’s shares, the market price of the Company's common stock, our capital needs and resources, general market and economic conditions, and applicable legal requirements. The value of shares authorized for repurchase by the Company's Board of Directors does not require the Company to repurchase such shares or guarantee that such shares will be repurchased, and the program may be suspended, modified, or discontinued at any time without prior notice. In December 2022, the Company entered into a Rule 10b5-1 plan that authorizes a broker to repurchase shares in the open market subject to pre-defined limitations on trading volume and price. The plan included a 30-day cooling off period that did not allow repurchases to commence until January 2023. The plan was effective until June 30, 2023 and had a maximum authorized amount of $5.0 million over that period. We may enter into additional Rule 10b5-1 plans in the future, the terms of which will be approved by the Board of Directors.</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u w:val="single" w:color="auto"/>
          <w:color w:val="0000EE"/>
        </w:rPr>
        <w:t>Executive Overview</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u w:val="single" w:color="auto"/>
          <w:color w:val="0000EE"/>
        </w:rPr>
        <w:t>Liquidity and Capital Resources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u w:val="single" w:color="auto"/>
          <w:color w:val="0000EE"/>
        </w:rPr>
        <w:t>Results of Operations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u w:val="single" w:color="auto"/>
          <w:color w:val="0000EE"/>
        </w:rPr>
        <w:t>Critical Accounting Policies and Estimates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Overview</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Evolution Petroleum Corporation is an independent energy company focused on maximizing total returns to its shareholders through the ownership of and investment in onshore oil and natural gas properties in the United States. In support of that objective, our long-term goal is to maximize total shareholder return from a diversified portfolio of long-life oil and natural gas properties built through acquisitions and through selective development opportunities, production enhancements, and other exploitation efforts on our oil and natural gas properties.</w:t>
      </w:r>
    </w:p>
    <w:p>
      <w:pPr>
        <w:spacing w:after="0" w:line="188"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 xml:space="preserve">Our oil and natural gas properties consist of non-operated </w:t>
      </w:r>
      <w:r>
        <w:rPr>
          <w:rFonts w:ascii="Arial" w:cs="Arial" w:eastAsia="Arial" w:hAnsi="Arial"/>
          <w:sz w:val="18"/>
          <w:szCs w:val="18"/>
          <w:color w:val="333333"/>
        </w:rPr>
        <w:t>interests in the Jonah</w:t>
      </w:r>
      <w:r>
        <w:rPr>
          <w:rFonts w:ascii="Arial" w:cs="Arial" w:eastAsia="Arial" w:hAnsi="Arial"/>
          <w:sz w:val="18"/>
          <w:szCs w:val="18"/>
          <w:color w:val="auto"/>
        </w:rPr>
        <w:t xml:space="preserve"> Field in Sublette County, Wyoming, a natural gas producing field; non-operated interests in the Williston Basin in North Dakota, a producing oil and natural gas property; non-operated interests in the Barnett Shale located in North Texas, a natural gas producing property; non-operated interests in the Hamilton Dome Field located in Hot Springs County, Wyoming, a secondary recovery field utilizing water injection wells to pressurize the reservoir; non-operated interests in the Delhi Holt-Bryant Unit in the Delhi Field in Northeast Louisiana, a CO</w:t>
      </w:r>
      <w:r>
        <w:rPr>
          <w:rFonts w:ascii="Arial" w:cs="Arial" w:eastAsia="Arial" w:hAnsi="Arial"/>
          <w:sz w:val="26"/>
          <w:szCs w:val="26"/>
          <w:color w:val="auto"/>
          <w:vertAlign w:val="subscript"/>
        </w:rPr>
        <w:t>2</w:t>
      </w:r>
      <w:r>
        <w:rPr>
          <w:rFonts w:ascii="Arial" w:cs="Arial" w:eastAsia="Arial" w:hAnsi="Arial"/>
          <w:sz w:val="18"/>
          <w:szCs w:val="18"/>
          <w:color w:val="auto"/>
        </w:rPr>
        <w:t xml:space="preserve"> enhanced oil recovery (“EOR”) project; and small overriding royalty interests in four onshore central Texas wells.</w:t>
      </w:r>
    </w:p>
    <w:p>
      <w:pPr>
        <w:spacing w:after="0" w:line="207" w:lineRule="exact"/>
        <w:rPr>
          <w:sz w:val="20"/>
          <w:szCs w:val="20"/>
          <w:color w:val="auto"/>
        </w:rPr>
      </w:pPr>
    </w:p>
    <w:p>
      <w:pPr>
        <w:ind w:left="60" w:right="379"/>
        <w:spacing w:after="0" w:line="259" w:lineRule="auto"/>
        <w:rPr>
          <w:sz w:val="20"/>
          <w:szCs w:val="20"/>
          <w:color w:val="auto"/>
        </w:rPr>
      </w:pPr>
      <w:r>
        <w:rPr>
          <w:rFonts w:ascii="Arial" w:cs="Arial" w:eastAsia="Arial" w:hAnsi="Arial"/>
          <w:sz w:val="18"/>
          <w:szCs w:val="18"/>
          <w:color w:val="auto"/>
        </w:rPr>
        <w:t>Our non-operated interests in the Jonah Field, a natural gas and NGL property in Sublette County, Wyoming, consist of approximately 20% average net working interest and approximately 15% average net revenue interest located on approximately 950 net acres. The properties are operated by Jonah Energy, an established operator in the geographic region.</w:t>
      </w:r>
    </w:p>
    <w:p>
      <w:pPr>
        <w:spacing w:after="0" w:line="187" w:lineRule="exact"/>
        <w:rPr>
          <w:sz w:val="20"/>
          <w:szCs w:val="20"/>
          <w:color w:val="auto"/>
        </w:rPr>
      </w:pPr>
    </w:p>
    <w:p>
      <w:pPr>
        <w:ind w:left="60" w:right="139"/>
        <w:spacing w:after="0" w:line="301" w:lineRule="auto"/>
        <w:rPr>
          <w:sz w:val="20"/>
          <w:szCs w:val="20"/>
          <w:color w:val="auto"/>
        </w:rPr>
      </w:pPr>
      <w:r>
        <w:rPr>
          <w:rFonts w:ascii="Arial" w:cs="Arial" w:eastAsia="Arial" w:hAnsi="Arial"/>
          <w:sz w:val="16"/>
          <w:szCs w:val="16"/>
          <w:color w:val="auto"/>
        </w:rPr>
        <w:t>Our non-operated interests in the Williston Basin, an oil and natural gas producing property, consist of approximately 39% average net working interest and approximately 33% average net revenue interest located on approximately 43,300 net acres (approximately 92% held by production) across Billings, Golden Valley, and McKenzie Counties in North Dakota. The properties are operated by Foundation Energy Management, an established operator in the geographic region.</w:t>
      </w:r>
    </w:p>
    <w:p>
      <w:pPr>
        <w:spacing w:after="0" w:line="157"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Our non-operated interests in the Barnett Shale, a natural gas and NGL producing shale reservoir, consist of approximately 17% average net working interest and approximately 14% average net revenue interest (inclusive of small overriding royalty interests). The approximately 21,000 net acres are held by production across nine North Texas counties. The oil and natural gas properties are primarily operated by Diversified Energy Company with approximately 10% of wells operated by six other operators.</w:t>
      </w:r>
    </w:p>
    <w:p>
      <w:pPr>
        <w:spacing w:after="0" w:line="188" w:lineRule="exact"/>
        <w:rPr>
          <w:sz w:val="20"/>
          <w:szCs w:val="20"/>
          <w:color w:val="auto"/>
        </w:rPr>
      </w:pPr>
    </w:p>
    <w:p>
      <w:pPr>
        <w:ind w:left="60" w:right="299"/>
        <w:spacing w:after="0" w:line="273" w:lineRule="auto"/>
        <w:rPr>
          <w:sz w:val="20"/>
          <w:szCs w:val="20"/>
          <w:color w:val="auto"/>
        </w:rPr>
      </w:pPr>
      <w:r>
        <w:rPr>
          <w:rFonts w:ascii="Arial" w:cs="Arial" w:eastAsia="Arial" w:hAnsi="Arial"/>
          <w:sz w:val="17"/>
          <w:szCs w:val="17"/>
          <w:color w:val="auto"/>
        </w:rPr>
        <w:t>Our non-operated interests in the Hamilton Dome Field, a secondary recovery field utilizing water injection wells to pressurize the reservoir, consist of approximately 24% average net working interest, with an associated 20% average net revenue interest (inclusive of a small overriding royalty interest). The approximately 5,900 gross acre unitized field, of which we hold approximately 1,400 net acres, is operated by Merit Energy Company, who owns the vast majority of the remaining working interest in the Hamilton Dome Field. The Hamilton Dome Field is located in the southwest region of the Big Horn Basin in northwest Wyoming.</w:t>
      </w:r>
    </w:p>
    <w:p>
      <w:pPr>
        <w:spacing w:after="0" w:line="82" w:lineRule="exact"/>
        <w:rPr>
          <w:sz w:val="20"/>
          <w:szCs w:val="20"/>
          <w:color w:val="auto"/>
        </w:rPr>
      </w:pPr>
    </w:p>
    <w:p>
      <w:pPr>
        <w:ind w:left="60" w:right="359"/>
        <w:spacing w:after="0" w:line="379" w:lineRule="auto"/>
        <w:rPr>
          <w:sz w:val="20"/>
          <w:szCs w:val="20"/>
          <w:color w:val="auto"/>
        </w:rPr>
      </w:pPr>
      <w:r>
        <w:rPr>
          <w:rFonts w:ascii="Arial" w:cs="Arial" w:eastAsia="Arial" w:hAnsi="Arial"/>
          <w:sz w:val="16"/>
          <w:szCs w:val="16"/>
          <w:color w:val="auto"/>
        </w:rPr>
        <w:t>Our non-operated interests in the Delhi Field, a CO</w:t>
      </w:r>
      <w:r>
        <w:rPr>
          <w:rFonts w:ascii="Arial" w:cs="Arial" w:eastAsia="Arial" w:hAnsi="Arial"/>
          <w:sz w:val="23"/>
          <w:szCs w:val="23"/>
          <w:color w:val="auto"/>
          <w:vertAlign w:val="subscript"/>
        </w:rPr>
        <w:t>2</w:t>
      </w:r>
      <w:r>
        <w:rPr>
          <w:rFonts w:ascii="Arial" w:cs="Arial" w:eastAsia="Arial" w:hAnsi="Arial"/>
          <w:sz w:val="16"/>
          <w:szCs w:val="16"/>
          <w:color w:val="auto"/>
        </w:rPr>
        <w:t>-EOR project, consist of approximately 24% average net working interest, with an associated 19% revenue interest and separate overriding royalty and mineral interests of approximately</w:t>
      </w:r>
    </w:p>
    <w:p>
      <w:pPr>
        <w:sectPr>
          <w:pgSz w:w="11900" w:h="16838" w:orient="portrait"/>
          <w:cols w:equalWidth="0" w:num="1">
            <w:col w:w="9019"/>
          </w:cols>
          <w:pgMar w:left="1440" w:top="517" w:right="1440" w:bottom="1440" w:gutter="0" w:footer="0" w:header="0"/>
        </w:sect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63" w:lineRule="auto"/>
        <w:rPr>
          <w:sz w:val="20"/>
          <w:szCs w:val="20"/>
          <w:color w:val="auto"/>
        </w:rPr>
      </w:pPr>
      <w:r>
        <w:rPr>
          <w:rFonts w:ascii="Arial" w:cs="Arial" w:eastAsia="Arial" w:hAnsi="Arial"/>
          <w:sz w:val="18"/>
          <w:szCs w:val="18"/>
          <w:color w:val="auto"/>
        </w:rPr>
        <w:t>7% yielding a total average net revenue interest of approximately 26%. The field is operated by Denbury Onshore LLC. The Delhi Field is located in northeast Louisiana in Franklin, Madison, and Richland Parishes and encompasses approximately 14,000 gross unitized acres, or approximately 3,200 net acres.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Developments</w:t>
      </w:r>
    </w:p>
    <w:p>
      <w:pPr>
        <w:spacing w:after="0" w:line="3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Dividend Declaration</w:t>
      </w:r>
    </w:p>
    <w:p>
      <w:pPr>
        <w:spacing w:after="0" w:line="239"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On September 11, 2023, Evolution’s Board of Directors approved and declared a quarterly dividend of $0.12 per common share payable September 29, 2023.</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239"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color w:val="auto"/>
        </w:rPr>
        <w:t>On May 5, 2023, we entered into the Tenth Amendment to our Senior Secured Credit Facility, which has a current borrowing base of $50.0 million. This amendment, among other things, extends the maturity of our Senior Secured Credit Facility to April 9, 2026 and converts our benchmark interest rate from LIBOR to SOFR plus a credit spread adjustment of 0.05%. For further discussion of the amendment and our Senior Secured Credit Facility, see “Liquidity and Capital Resources” below.</w:t>
      </w: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Appointment of Chief Operating Officer</w:t>
      </w:r>
    </w:p>
    <w:p>
      <w:pPr>
        <w:spacing w:after="0" w:line="239" w:lineRule="exact"/>
        <w:rPr>
          <w:sz w:val="20"/>
          <w:szCs w:val="20"/>
          <w:color w:val="auto"/>
        </w:rPr>
      </w:pPr>
    </w:p>
    <w:p>
      <w:pPr>
        <w:jc w:val="both"/>
        <w:ind w:left="60" w:right="239"/>
        <w:spacing w:after="0" w:line="263" w:lineRule="auto"/>
        <w:rPr>
          <w:sz w:val="20"/>
          <w:szCs w:val="20"/>
          <w:color w:val="auto"/>
        </w:rPr>
      </w:pPr>
      <w:r>
        <w:rPr>
          <w:rFonts w:ascii="Arial" w:cs="Arial" w:eastAsia="Arial" w:hAnsi="Arial"/>
          <w:sz w:val="18"/>
          <w:szCs w:val="18"/>
          <w:color w:val="auto"/>
        </w:rPr>
        <w:t>On February 23, 2023, we announced that the Board of Directors appointed J. Mark Bunch as COO. Mr. Bunch had been providing consulting services to the Company since 2016. We entered into an offer letter with Mr. Bunch setting forth his compensation as COO on February 21, 2023.</w:t>
      </w:r>
    </w:p>
    <w:p>
      <w:pPr>
        <w:spacing w:after="0" w:line="25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Appointment of Chief Executive Officer</w:t>
      </w:r>
    </w:p>
    <w:p>
      <w:pPr>
        <w:spacing w:after="0" w:line="279" w:lineRule="exact"/>
        <w:rPr>
          <w:sz w:val="20"/>
          <w:szCs w:val="20"/>
          <w:color w:val="auto"/>
        </w:rPr>
      </w:pPr>
    </w:p>
    <w:p>
      <w:pPr>
        <w:ind w:left="60" w:right="199"/>
        <w:spacing w:after="0" w:line="301" w:lineRule="auto"/>
        <w:rPr>
          <w:sz w:val="20"/>
          <w:szCs w:val="20"/>
          <w:color w:val="auto"/>
        </w:rPr>
      </w:pPr>
      <w:r>
        <w:rPr>
          <w:rFonts w:ascii="Arial" w:cs="Arial" w:eastAsia="Arial" w:hAnsi="Arial"/>
          <w:sz w:val="16"/>
          <w:szCs w:val="16"/>
          <w:color w:val="auto"/>
        </w:rPr>
        <w:t>On October 27, 2022, we announced that the Board of Directors selected Kelly W. Loyd as President and CEO. Mr. Loyd had been serving as Interim CEO since June 2022 and has served as a member of the Board of Directors since 2008. We entered into an offer letter with Mr. Loyd setting forth his compensation as CEO on October 25, 2022. Upon commencing employment, Mr. Loyd no longer receives compensation for his services as a member of the Board of Directors.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79" w:lineRule="exact"/>
        <w:rPr>
          <w:sz w:val="20"/>
          <w:szCs w:val="20"/>
          <w:color w:val="auto"/>
        </w:rPr>
      </w:pPr>
    </w:p>
    <w:p>
      <w:pPr>
        <w:ind w:left="60" w:right="159"/>
        <w:spacing w:after="0" w:line="287" w:lineRule="auto"/>
        <w:rPr>
          <w:sz w:val="20"/>
          <w:szCs w:val="20"/>
          <w:color w:val="auto"/>
        </w:rPr>
      </w:pPr>
      <w:r>
        <w:rPr>
          <w:rFonts w:ascii="Arial" w:cs="Arial" w:eastAsia="Arial" w:hAnsi="Arial"/>
          <w:sz w:val="16"/>
          <w:szCs w:val="16"/>
          <w:color w:val="auto"/>
        </w:rPr>
        <w:t>On September 8, 2022, the Board of Directors approved a share repurchase program under which we are authorized to repurchase up to $25.0 million of our common stock in the open market through December 31, 2024. We intend to fund repurchases from available working capital and cash provided by operating activities. As we continue to focus on our goal of maximizing total shareholder return, the Board of Directors and management team believe that a share repurchase program is complimentary to the existing dividend policy and is a tax efficient means to further improve shareholder return. The shares may be repurchased from time to time in open market transactions, through privately negotiated transactions or by other means in accordance with federal securities laws. The timing, as well as the number and value of shares repurchased under the program, will depend on a variety of factors, including management’s assessment of the intrinsic value of our shares, our capital needs and resources, the market price of our common stock, general market and economic conditions, and applicable legal requirements. The value of shares authorized for repurchase by our Board of Directors does not require us to repurchase such shares or guarantee that such shares will be repurchased, and the program may be suspended, modified, or discontinued at any time without prior notice.</w:t>
      </w:r>
    </w:p>
    <w:p>
      <w:pPr>
        <w:spacing w:after="0" w:line="168" w:lineRule="exact"/>
        <w:rPr>
          <w:sz w:val="20"/>
          <w:szCs w:val="20"/>
          <w:color w:val="auto"/>
        </w:rPr>
      </w:pPr>
    </w:p>
    <w:p>
      <w:pPr>
        <w:ind w:left="60" w:right="119"/>
        <w:spacing w:after="0" w:line="301" w:lineRule="auto"/>
        <w:rPr>
          <w:sz w:val="20"/>
          <w:szCs w:val="20"/>
          <w:color w:val="auto"/>
        </w:rPr>
      </w:pPr>
      <w:r>
        <w:rPr>
          <w:rFonts w:ascii="Arial" w:cs="Arial" w:eastAsia="Arial" w:hAnsi="Arial"/>
          <w:sz w:val="16"/>
          <w:szCs w:val="16"/>
          <w:color w:val="auto"/>
        </w:rPr>
        <w:t>Once we completed repayment of borrowings on our Senior Secured Credit Facility and emerged from our blackout period in December 2022, we entered into a Rule 10b5-1 plan that authorized a broker to repurchase shares in the open market subject to pre-defined limitations on trading volume and price. The plan included a 30-day cooling off period that did not allow repurchases to commence until January 2023. The plan was effective until June 30, 2023 and had a</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79" w:lineRule="auto"/>
        <w:rPr>
          <w:sz w:val="20"/>
          <w:szCs w:val="20"/>
          <w:color w:val="auto"/>
        </w:rPr>
      </w:pPr>
      <w:r>
        <w:rPr>
          <w:rFonts w:ascii="Arial" w:cs="Arial" w:eastAsia="Arial" w:hAnsi="Arial"/>
          <w:sz w:val="17"/>
          <w:szCs w:val="17"/>
          <w:color w:val="auto"/>
        </w:rPr>
        <w:t>maximum authorized amount of $5.0 million over that period. During the year ended June 30, 2023, 0.6 million shares of our common stock were repurchased under the plan at a total cost of approximately $3.9 million, including incremental direct transaction costs. These treasury shares were subsequently cancelled. We may enter into additional Rule 10b5-1 plans in the future, the terms of which will be approved by the Board of Directors.</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Proved Reserves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is a summary of our proved reserves as of June 30, 2023 and 2022:</w:t>
      </w:r>
    </w:p>
    <w:p>
      <w:pPr>
        <w:spacing w:after="0" w:line="226"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80" w:type="dxa"/>
            <w:vAlign w:val="bottom"/>
            <w:gridSpan w:val="6"/>
          </w:tcPr>
          <w:p>
            <w:pPr>
              <w:jc w:val="right"/>
              <w:ind w:right="1100"/>
              <w:spacing w:after="0"/>
              <w:rPr>
                <w:sz w:val="20"/>
                <w:szCs w:val="20"/>
                <w:color w:val="auto"/>
              </w:rPr>
            </w:pPr>
            <w:r>
              <w:rPr>
                <w:rFonts w:ascii="Arial" w:cs="Arial" w:eastAsia="Arial" w:hAnsi="Arial"/>
                <w:sz w:val="16"/>
                <w:szCs w:val="16"/>
                <w:b w:val="1"/>
                <w:bCs w:val="1"/>
                <w:color w:val="auto"/>
              </w:rPr>
              <w:t>Proved Reserves</w:t>
            </w:r>
          </w:p>
        </w:tc>
        <w:tc>
          <w:tcPr>
            <w:tcW w:w="14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46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28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Change</w:t>
            </w:r>
          </w:p>
        </w:tc>
      </w:tr>
      <w:tr>
        <w:trPr>
          <w:trHeight w:val="196"/>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Proved Reserves MMBOE</w:t>
            </w: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46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(13.8)%</w:t>
            </w:r>
          </w:p>
        </w:tc>
      </w:tr>
      <w:tr>
        <w:trPr>
          <w:trHeight w:val="203"/>
        </w:trPr>
        <w:tc>
          <w:tcPr>
            <w:tcW w:w="20" w:type="dxa"/>
            <w:vAlign w:val="bottom"/>
          </w:tcPr>
          <w:p>
            <w:pPr>
              <w:spacing w:after="0"/>
              <w:rPr>
                <w:sz w:val="17"/>
                <w:szCs w:val="17"/>
                <w:color w:val="auto"/>
              </w:rPr>
            </w:pPr>
          </w:p>
        </w:tc>
        <w:tc>
          <w:tcPr>
            <w:tcW w:w="2460" w:type="dxa"/>
            <w:vAlign w:val="bottom"/>
          </w:tcPr>
          <w:p>
            <w:pPr>
              <w:spacing w:after="0"/>
              <w:rPr>
                <w:sz w:val="20"/>
                <w:szCs w:val="20"/>
                <w:color w:val="auto"/>
              </w:rPr>
            </w:pPr>
            <w:r>
              <w:rPr>
                <w:rFonts w:ascii="Arial" w:cs="Arial" w:eastAsia="Arial" w:hAnsi="Arial"/>
                <w:sz w:val="16"/>
                <w:szCs w:val="16"/>
                <w:color w:val="auto"/>
              </w:rPr>
              <w:t>% Developed</w:t>
            </w: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88.1 %</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6"/>
                <w:szCs w:val="16"/>
                <w:color w:val="auto"/>
              </w:rPr>
              <w:t>90.1 %</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(2.0)%</w:t>
            </w:r>
          </w:p>
        </w:tc>
      </w:tr>
      <w:tr>
        <w:trPr>
          <w:trHeight w:val="203"/>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Liquids %</w:t>
            </w: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50.5 %</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50.8 %</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r>
      <w:tr>
        <w:trPr>
          <w:trHeight w:val="206"/>
        </w:trPr>
        <w:tc>
          <w:tcPr>
            <w:tcW w:w="20" w:type="dxa"/>
            <w:vAlign w:val="bottom"/>
          </w:tcPr>
          <w:p>
            <w:pPr>
              <w:spacing w:after="0"/>
              <w:rPr>
                <w:sz w:val="17"/>
                <w:szCs w:val="17"/>
                <w:color w:val="auto"/>
              </w:rPr>
            </w:pPr>
          </w:p>
        </w:tc>
        <w:tc>
          <w:tcPr>
            <w:tcW w:w="2460" w:type="dxa"/>
            <w:vAlign w:val="bottom"/>
          </w:tcPr>
          <w:p>
            <w:pPr>
              <w:spacing w:after="0"/>
              <w:rPr>
                <w:sz w:val="20"/>
                <w:szCs w:val="20"/>
                <w:color w:val="auto"/>
              </w:rPr>
            </w:pPr>
            <w:r>
              <w:rPr>
                <w:rFonts w:ascii="Arial" w:cs="Arial" w:eastAsia="Arial" w:hAnsi="Arial"/>
                <w:sz w:val="16"/>
                <w:szCs w:val="16"/>
                <w:color w:val="auto"/>
              </w:rPr>
              <w:t>Standardized Measure ($MM)</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238.2</w:t>
            </w:r>
          </w:p>
        </w:tc>
        <w:tc>
          <w:tcPr>
            <w:tcW w:w="280" w:type="dxa"/>
            <w:vAlign w:val="bottom"/>
          </w:tcPr>
          <w:p>
            <w:pPr>
              <w:spacing w:after="0"/>
              <w:rPr>
                <w:sz w:val="17"/>
                <w:szCs w:val="17"/>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314.8</w:t>
            </w:r>
          </w:p>
        </w:tc>
        <w:tc>
          <w:tcPr>
            <w:tcW w:w="460" w:type="dxa"/>
            <w:vAlign w:val="bottom"/>
          </w:tcPr>
          <w:p>
            <w:pPr>
              <w:spacing w:after="0"/>
              <w:rPr>
                <w:sz w:val="17"/>
                <w:szCs w:val="17"/>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(24.3)%</w:t>
            </w:r>
          </w:p>
        </w:tc>
      </w:tr>
    </w:tbl>
    <w:p>
      <w:pPr>
        <w:spacing w:after="0" w:line="198" w:lineRule="exact"/>
        <w:rPr>
          <w:sz w:val="20"/>
          <w:szCs w:val="20"/>
          <w:color w:val="auto"/>
        </w:rPr>
      </w:pPr>
    </w:p>
    <w:p>
      <w:pPr>
        <w:ind w:left="60" w:right="319"/>
        <w:spacing w:after="0" w:line="273" w:lineRule="auto"/>
        <w:rPr>
          <w:sz w:val="20"/>
          <w:szCs w:val="20"/>
          <w:color w:val="auto"/>
        </w:rPr>
      </w:pPr>
      <w:r>
        <w:rPr>
          <w:rFonts w:ascii="Arial" w:cs="Arial" w:eastAsia="Arial" w:hAnsi="Arial"/>
          <w:sz w:val="17"/>
          <w:szCs w:val="17"/>
          <w:color w:val="auto"/>
        </w:rPr>
        <w:t>Proved oil equivalent reserves as of June 30, 2023 were 31.2 MMBOE, a 5.0 MMBOE, or 13.8%, decrease from the previous year of 36.2 MMBOE. The net decrease in total proved reserves was primarily due production of 2.6 MMBOE and net negative revisions of 2.6 MMBOE partially offset by additions and extensions of 0.1 MMBOE. Net negative revisions of 2.6 MMBOE are primarily due to declines in SEC trailing 12-month pricing that impacted late-in-life economic limits of production, adjustment to projections and increased production costs partially offset by restored production at Hamiton Dome Field and improved economics from our differentials at Jonah Field.</w:t>
      </w:r>
    </w:p>
    <w:p>
      <w:pPr>
        <w:spacing w:after="0" w:line="178"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color w:val="auto"/>
        </w:rPr>
        <w:t>The Standardized Measure for proved reserves decreased 24.3% to $238.2 million, primarily due to sales of oil, natural gas and NGLs produced during the period, decreases in reserves estimates, decreases in the SEC mandated trailing 12-month average first day of the month prices for oil and natural gas and the price received for our NGLs. Prices decreased from $85.82 per barrel of oil, $5.19 per MMBtu of natural gas and $44.24 per barrel of NGLs at June 30, 2022 to $83.23 per barrel of oil, $4.78 per MMBtu of natural gas and $33.71 per barrel of NGLs at June 30, 2023. Our proved reserves consist of 32% oil, 49% natural gas, and 19% NGLs; 88.1% are classified as proved developed producing and 11.9% are proved undeveloped.</w:t>
      </w:r>
    </w:p>
    <w:p>
      <w:pPr>
        <w:spacing w:after="0" w:line="195" w:lineRule="exact"/>
        <w:rPr>
          <w:sz w:val="20"/>
          <w:szCs w:val="20"/>
          <w:color w:val="auto"/>
        </w:rPr>
      </w:pPr>
    </w:p>
    <w:p>
      <w:pPr>
        <w:ind w:left="60" w:right="199"/>
        <w:spacing w:after="0" w:line="311" w:lineRule="auto"/>
        <w:rPr>
          <w:sz w:val="20"/>
          <w:szCs w:val="20"/>
          <w:color w:val="auto"/>
        </w:rPr>
      </w:pPr>
      <w:r>
        <w:rPr>
          <w:rFonts w:ascii="Arial" w:cs="Arial" w:eastAsia="Arial" w:hAnsi="Arial"/>
          <w:sz w:val="16"/>
          <w:szCs w:val="16"/>
          <w:color w:val="auto"/>
        </w:rPr>
        <w:t xml:space="preserve">Additional property and project information is included under Item 1.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and in Note 4, </w:t>
      </w:r>
      <w:r>
        <w:rPr>
          <w:rFonts w:ascii="Arial" w:cs="Arial" w:eastAsia="Arial" w:hAnsi="Arial"/>
          <w:sz w:val="16"/>
          <w:szCs w:val="16"/>
          <w:i w:val="1"/>
          <w:iCs w:val="1"/>
          <w:color w:val="auto"/>
        </w:rPr>
        <w:t>“Property and Equipment”</w:t>
      </w:r>
      <w:r>
        <w:rPr>
          <w:rFonts w:ascii="Arial" w:cs="Arial" w:eastAsia="Arial" w:hAnsi="Arial"/>
          <w:sz w:val="16"/>
          <w:szCs w:val="16"/>
          <w:color w:val="auto"/>
        </w:rPr>
        <w:t xml:space="preserve"> and our </w:t>
      </w:r>
      <w:r>
        <w:rPr>
          <w:rFonts w:ascii="Arial" w:cs="Arial" w:eastAsia="Arial" w:hAnsi="Arial"/>
          <w:sz w:val="16"/>
          <w:szCs w:val="16"/>
          <w:i w:val="1"/>
          <w:iCs w:val="1"/>
          <w:color w:val="auto"/>
        </w:rPr>
        <w:t>Supplemental Disclosure about Oil and Natural Gas Properties (unaudited)</w:t>
      </w:r>
      <w:r>
        <w:rPr>
          <w:rFonts w:ascii="Arial" w:cs="Arial" w:eastAsia="Arial" w:hAnsi="Arial"/>
          <w:sz w:val="16"/>
          <w:szCs w:val="16"/>
          <w:color w:val="auto"/>
        </w:rPr>
        <w:t xml:space="preserve"> to our consolidated financial statements in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and in Exhibit 99.1 and 99.2 of this Form 10-K.</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ind w:left="60" w:right="259"/>
        <w:spacing w:after="0" w:line="263" w:lineRule="auto"/>
        <w:rPr>
          <w:sz w:val="20"/>
          <w:szCs w:val="20"/>
          <w:color w:val="auto"/>
        </w:rPr>
      </w:pPr>
      <w:r>
        <w:rPr>
          <w:rFonts w:ascii="Arial" w:cs="Arial" w:eastAsia="Arial" w:hAnsi="Arial"/>
          <w:sz w:val="18"/>
          <w:szCs w:val="18"/>
          <w:color w:val="auto"/>
        </w:rPr>
        <w:t>The global economy was deeply impacted by the effects of the novel coronavirus (“COVID-19”) pandemic and related efforts to mitigate the spread of the disease. These events led to crude oil prices falling to historic lows during the second quarter of 2020 and remaining depressed through much of 2020.</w:t>
      </w:r>
    </w:p>
    <w:p>
      <w:pPr>
        <w:spacing w:after="0" w:line="184" w:lineRule="exact"/>
        <w:rPr>
          <w:sz w:val="20"/>
          <w:szCs w:val="20"/>
          <w:color w:val="auto"/>
        </w:rPr>
      </w:pPr>
    </w:p>
    <w:p>
      <w:pPr>
        <w:ind w:left="60" w:right="139"/>
        <w:spacing w:after="0" w:line="275" w:lineRule="auto"/>
        <w:rPr>
          <w:sz w:val="20"/>
          <w:szCs w:val="20"/>
          <w:color w:val="auto"/>
        </w:rPr>
      </w:pPr>
      <w:r>
        <w:rPr>
          <w:rFonts w:ascii="Arial" w:cs="Arial" w:eastAsia="Arial" w:hAnsi="Arial"/>
          <w:sz w:val="17"/>
          <w:szCs w:val="17"/>
          <w:color w:val="auto"/>
        </w:rPr>
        <w:t>Beginning in 2021, the demand for oil and natural gas started to recover primarily as a result of the roll-out of the COVID-19 vaccine and lessening of pandemic related government restrictions on individuals and businesses. In addition, the military activities of Russia into Ukraine and the subsequent sanctions imposed on Russia and other actions have created significant market uncertainties, including uncertainties around potential supply disruptions for oil and natural gas, which further enhanced volatility in global commodity prices in the first half of 2022.</w:t>
      </w:r>
    </w:p>
    <w:p>
      <w:pPr>
        <w:spacing w:after="0" w:line="176" w:lineRule="exact"/>
        <w:rPr>
          <w:sz w:val="20"/>
          <w:szCs w:val="20"/>
          <w:color w:val="auto"/>
        </w:rPr>
      </w:pPr>
    </w:p>
    <w:p>
      <w:pPr>
        <w:ind w:left="60" w:right="119"/>
        <w:spacing w:after="0" w:line="273" w:lineRule="auto"/>
        <w:rPr>
          <w:sz w:val="20"/>
          <w:szCs w:val="20"/>
          <w:color w:val="auto"/>
        </w:rPr>
      </w:pPr>
      <w:r>
        <w:rPr>
          <w:rFonts w:ascii="Arial" w:cs="Arial" w:eastAsia="Arial" w:hAnsi="Arial"/>
          <w:sz w:val="17"/>
          <w:szCs w:val="17"/>
          <w:color w:val="auto"/>
        </w:rPr>
        <w:t>Additionally, in March 2023, the closures of Silicon Valley Bank and Signature Bank and their placement into receivership with the Federal Deposit Insurance Corporation (“FDIC”) created broad uncertainty around world-wide financial institutions and liquidity risk. While we do not have exposure to these banks, we do maintain cash balances in excess of FDIC insurance protections at banks we believe to be financially sound. We also utilize insured cash sweep deposits to maximize the amount of our cash that is protected by FDIC insurance. We also rely heavily on our third-party operators who manage their own liquidity with various financial institutions.</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color w:val="auto"/>
        </w:rPr>
        <w:t>Given the dynamic nature of these events, we cannot reasonably estimate the period of time that these market conditions will persist; predict the broader impact of liquidity concerns around financial institutions; or the impact on the commodity prices that we realize.</w:t>
      </w:r>
    </w:p>
    <w:p>
      <w:pPr>
        <w:spacing w:after="0" w:line="184" w:lineRule="exact"/>
        <w:rPr>
          <w:sz w:val="20"/>
          <w:szCs w:val="20"/>
          <w:color w:val="auto"/>
        </w:rPr>
      </w:pPr>
    </w:p>
    <w:p>
      <w:pPr>
        <w:jc w:val="both"/>
        <w:ind w:left="60" w:right="359"/>
        <w:spacing w:after="0" w:line="279" w:lineRule="auto"/>
        <w:rPr>
          <w:sz w:val="20"/>
          <w:szCs w:val="20"/>
          <w:color w:val="auto"/>
        </w:rPr>
      </w:pPr>
      <w:r>
        <w:rPr>
          <w:rFonts w:ascii="Arial" w:cs="Arial" w:eastAsia="Arial" w:hAnsi="Arial"/>
          <w:sz w:val="17"/>
          <w:szCs w:val="17"/>
          <w:color w:val="auto"/>
        </w:rPr>
        <w:t>Currently, our oil and natural gas properties are operated by third-party operators and involve other third-party working interest owners. As a result, we have limited ability to influence the operation or future development of such properties. Despite these uncertainties, we remain focused on our long-term objectives and continue to be proactive with our third-party operators to review capital expenditures and present alternative plans as necessary.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right="119"/>
        <w:spacing w:after="0" w:line="271" w:lineRule="auto"/>
        <w:rPr>
          <w:sz w:val="20"/>
          <w:szCs w:val="20"/>
          <w:color w:val="auto"/>
        </w:rPr>
      </w:pPr>
      <w:r>
        <w:rPr>
          <w:rFonts w:ascii="Arial" w:cs="Arial" w:eastAsia="Arial" w:hAnsi="Arial"/>
          <w:sz w:val="17"/>
          <w:szCs w:val="17"/>
          <w:color w:val="auto"/>
        </w:rPr>
        <w:t>As of June 30, 2023, we had no borrowings outstanding on our Senior Secured Credit Facility and $11.0 million in cash and cash equivalents compared to $21.3 million of borrowings on our Senior Secured Credit Facility and $8.3 million in cash and cash equivalents at June 30, 2022. Our primary sources of liquidity and capital resources during the year ended June 30, 2023 were cash provided by operations and the unused portion of our Senior Secured Credit Facility. Our primary uses of liquidity and capital resources for the year ended June 30, 2023 were repayments on our Senior Secured Credit Facility, cash dividend payments to our common stockholders, common stock repurchases, and capital expenditures on our existing oil and natural gas properties. As of June 30, 2023, working capital was $8.9 million, an increase of $2.8 million from working capital of $6.1 million as of June 30, 2022.</w:t>
      </w:r>
    </w:p>
    <w:p>
      <w:pPr>
        <w:spacing w:after="0" w:line="178" w:lineRule="exact"/>
        <w:rPr>
          <w:sz w:val="20"/>
          <w:szCs w:val="20"/>
          <w:color w:val="auto"/>
        </w:rPr>
      </w:pPr>
    </w:p>
    <w:p>
      <w:pPr>
        <w:ind w:left="60" w:right="319"/>
        <w:spacing w:after="0" w:line="259" w:lineRule="auto"/>
        <w:rPr>
          <w:sz w:val="20"/>
          <w:szCs w:val="20"/>
          <w:color w:val="auto"/>
        </w:rPr>
      </w:pPr>
      <w:r>
        <w:rPr>
          <w:rFonts w:ascii="Arial" w:cs="Arial" w:eastAsia="Arial" w:hAnsi="Arial"/>
          <w:sz w:val="18"/>
          <w:szCs w:val="18"/>
          <w:color w:val="auto"/>
        </w:rPr>
        <w:t>The Senior Secured Credit Facility has a maximum capacity of $50.0 million subject to a borrowing base determined by the lender based on the value of our oil and natural gas properties. The Senior Secured Credit Facility has a current borrowing base of $50.0 million. The Senior Secured Credit Facility is secured by substantially all of our oil and natural gas properties and matures on April 9, 2026.</w:t>
      </w:r>
    </w:p>
    <w:p>
      <w:pPr>
        <w:spacing w:after="0" w:line="187" w:lineRule="exact"/>
        <w:rPr>
          <w:sz w:val="20"/>
          <w:szCs w:val="20"/>
          <w:color w:val="auto"/>
        </w:rPr>
      </w:pPr>
    </w:p>
    <w:p>
      <w:pPr>
        <w:ind w:left="60" w:right="119"/>
        <w:spacing w:after="0" w:line="272" w:lineRule="auto"/>
        <w:rPr>
          <w:sz w:val="20"/>
          <w:szCs w:val="20"/>
          <w:color w:val="auto"/>
        </w:rPr>
      </w:pPr>
      <w:r>
        <w:rPr>
          <w:rFonts w:ascii="Arial" w:cs="Arial" w:eastAsia="Arial" w:hAnsi="Arial"/>
          <w:sz w:val="17"/>
          <w:szCs w:val="17"/>
          <w:color w:val="auto"/>
        </w:rPr>
        <w:t>Borrowings bear interest, at our option, at either the SOFR plus 2.80% or the Prime Rate, as defined under the Senior Secured Credit Facility, plus 1.0%. For the year ended June 30, 2023, the weighted average interest on our borrowings was 5.25%. The Senior Secured Credit Facility contains covenants requiring the maintenance of (i) a total leverage ratio of not more than 3.00 to 1.00, (ii) a current ratio of not less than 1.00 to 1.00, and (iii) a consolidated tangible net worth of not less than $40.0 million, each as defined in the Senior Secured Credit Facility. It also contains other customary affirmative and negative covenants, including a hedging covenant discussed below, and events of default. As of June 30, 2023, we were in compliance with all covenants under the Senior Secured Credit Facility.</w:t>
      </w:r>
    </w:p>
    <w:p>
      <w:pPr>
        <w:spacing w:after="0" w:line="177" w:lineRule="exact"/>
        <w:rPr>
          <w:sz w:val="20"/>
          <w:szCs w:val="20"/>
          <w:color w:val="auto"/>
        </w:rPr>
      </w:pPr>
    </w:p>
    <w:p>
      <w:pPr>
        <w:ind w:left="60" w:right="159"/>
        <w:spacing w:after="0" w:line="270" w:lineRule="auto"/>
        <w:rPr>
          <w:sz w:val="20"/>
          <w:szCs w:val="20"/>
          <w:color w:val="auto"/>
        </w:rPr>
      </w:pPr>
      <w:r>
        <w:rPr>
          <w:rFonts w:ascii="Arial" w:cs="Arial" w:eastAsia="Arial" w:hAnsi="Arial"/>
          <w:sz w:val="17"/>
          <w:szCs w:val="17"/>
          <w:color w:val="auto"/>
        </w:rPr>
        <w:t>On May 5, 2023, we entered into the Tenth Amendment to the Senior Secured Credit Facility. This amendment, among other things, extended the maturity of our Senior Secured Credit Facility to April 9, 2026, converted our benchmark interest rate from LIBOR to SOFR plus a credit spread adjustment of 0.05%, and modified the Margined Collateral Value, as defined in the Ninth Amendment to the Senior Secured Credit Facility, to $95.0 million. We are required to enter into hedges on a rolling 12-month basis when the borrowings under the Senior Secured Credit Facility exceed 25% of the Margined Collateral Value. The required amount of hedged oil and natural gas production is related to the amount of borrowings outstanding. At each redetermination, our Margined Collateral Value takes into account the estimated value of our oil and natural gas properties, proved developed reserves, total indebtedness, and other relevant factors consistent with customary oil and natural gas lending criteria.</w:t>
      </w:r>
    </w:p>
    <w:p>
      <w:pPr>
        <w:spacing w:after="0" w:line="181"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On February 7, 2022, we entered into the Ninth Amendment to the Senior Secured Credit Facility. This amendment, among other things, modified the definition of utilization percentage related to the required hedging covenant such that for the purposes of determining the amount of future production to hedge, the utilization of the Senior Secured Credit Facility will be based on the Margined Collateral Value, as amended above, to the extent it exceeds the borrowing base then in effect. This amendment also required us to enter into hedges for the 12-month period ending February 2023, covering 25% of expected oil and natural gas production over that period.</w:t>
      </w:r>
    </w:p>
    <w:p>
      <w:pPr>
        <w:spacing w:after="0" w:line="178" w:lineRule="exact"/>
        <w:rPr>
          <w:sz w:val="20"/>
          <w:szCs w:val="20"/>
          <w:color w:val="auto"/>
        </w:rPr>
      </w:pPr>
    </w:p>
    <w:p>
      <w:pPr>
        <w:ind w:left="60" w:right="439"/>
        <w:spacing w:after="0" w:line="342" w:lineRule="auto"/>
        <w:rPr>
          <w:sz w:val="20"/>
          <w:szCs w:val="20"/>
          <w:color w:val="auto"/>
        </w:rPr>
      </w:pPr>
      <w:r>
        <w:rPr>
          <w:rFonts w:ascii="Arial" w:cs="Arial" w:eastAsia="Arial" w:hAnsi="Arial"/>
          <w:sz w:val="16"/>
          <w:szCs w:val="16"/>
          <w:color w:val="auto"/>
        </w:rPr>
        <w:t>On November 9, 2021, we entered into the Eighth Amendment to the Senior Secured Credit Facility. This amendment, among other things, increased the borrowing base to $50.0 million and added a hedging covenant whereby we must</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308" w:lineRule="auto"/>
        <w:rPr>
          <w:sz w:val="20"/>
          <w:szCs w:val="20"/>
          <w:color w:val="auto"/>
        </w:rPr>
      </w:pPr>
      <w:r>
        <w:rPr>
          <w:rFonts w:ascii="Arial" w:cs="Arial" w:eastAsia="Arial" w:hAnsi="Arial"/>
          <w:sz w:val="17"/>
          <w:szCs w:val="17"/>
          <w:color w:val="auto"/>
        </w:rPr>
        <w:t>hedge a certain amount of our future production on a rolling 12-month basis when 25% or more of the borrowing base is utilized. The hedging covenant was amended in the Ninth Amendment, as discussed above.</w:t>
      </w:r>
    </w:p>
    <w:p>
      <w:pPr>
        <w:spacing w:after="0" w:line="146"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On August 5, 2021, we entered into the Seventh Amendment of our Senior Secured Credit Facility which, among other things, added definitions for the terms “Acquired Entity or Mineral Interests” and “Acquired Entity or Mineral Interests EBITDA Adjustment.” Additionally, the consolidated tangible net worth covenant level was reduced to $40.0 million from $50.0 million.</w:t>
      </w:r>
    </w:p>
    <w:p>
      <w:pPr>
        <w:spacing w:after="0" w:line="187" w:lineRule="exact"/>
        <w:rPr>
          <w:sz w:val="20"/>
          <w:szCs w:val="20"/>
          <w:color w:val="auto"/>
        </w:rPr>
      </w:pPr>
    </w:p>
    <w:p>
      <w:pPr>
        <w:ind w:left="60" w:right="299"/>
        <w:spacing w:after="0" w:line="279" w:lineRule="auto"/>
        <w:rPr>
          <w:sz w:val="20"/>
          <w:szCs w:val="20"/>
          <w:color w:val="auto"/>
        </w:rPr>
      </w:pPr>
      <w:r>
        <w:rPr>
          <w:rFonts w:ascii="Arial" w:cs="Arial" w:eastAsia="Arial" w:hAnsi="Arial"/>
          <w:sz w:val="17"/>
          <w:szCs w:val="17"/>
          <w:color w:val="auto"/>
        </w:rPr>
        <w:t>We have historically funded operations through cash from operations and working capital. Our primary source of cash is the sale of produced crude oil, natural gas, and NGLs. A portion of these cash flows is used to fund capital expenditures and pay cash dividends to shareholders. We expect to fund near-future capital development activities for our properties with cash flows from operating activities and existing working capital.</w:t>
      </w:r>
    </w:p>
    <w:p>
      <w:pPr>
        <w:spacing w:after="0" w:line="171"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color w:val="auto"/>
        </w:rPr>
        <w:t>We are pursuing new growth opportunities through acquisitions and other transactions. In addition to cash on hand, we have access to the undrawn portion of the borrowing base available under our Senior Secured Credit Facility, totaling $50.0 million as of June 30, 2023. We also have an effective shelf registration statement with the SEC under which we may issue up to $500.0 million of new debt or equity securities.</w:t>
      </w:r>
    </w:p>
    <w:p>
      <w:pPr>
        <w:spacing w:after="0" w:line="187" w:lineRule="exact"/>
        <w:rPr>
          <w:sz w:val="20"/>
          <w:szCs w:val="20"/>
          <w:color w:val="auto"/>
        </w:rPr>
      </w:pPr>
    </w:p>
    <w:p>
      <w:pPr>
        <w:ind w:left="60" w:right="119"/>
        <w:spacing w:after="0" w:line="296" w:lineRule="auto"/>
        <w:rPr>
          <w:sz w:val="20"/>
          <w:szCs w:val="20"/>
          <w:color w:val="auto"/>
        </w:rPr>
      </w:pPr>
      <w:r>
        <w:rPr>
          <w:rFonts w:ascii="Arial" w:cs="Arial" w:eastAsia="Arial" w:hAnsi="Arial"/>
          <w:sz w:val="16"/>
          <w:szCs w:val="16"/>
          <w:color w:val="auto"/>
        </w:rPr>
        <w:t>Our Board of Directors instituted a cash dividend on common stock in December 2013. We have since paid 39 consecutive quarterly dividends. Distribution of a substantial portion of free cash flow in excess of operating and capital requirements through cash dividends remains a priority of our financial strategy, and it is our long-term goal to increase dividends over time, as appropriate. On September 11, 2023, the Board of Directors declared a quarterly cash dividend of $0.12 per share of common stock to shareholders of record on September 22, 2023 and payable on September 29, 2023.</w:t>
      </w:r>
    </w:p>
    <w:p>
      <w:pPr>
        <w:spacing w:after="0" w:line="161" w:lineRule="exact"/>
        <w:rPr>
          <w:sz w:val="20"/>
          <w:szCs w:val="20"/>
          <w:color w:val="auto"/>
        </w:rPr>
      </w:pPr>
    </w:p>
    <w:p>
      <w:pPr>
        <w:ind w:left="60" w:right="359"/>
        <w:spacing w:after="0" w:line="255" w:lineRule="auto"/>
        <w:rPr>
          <w:sz w:val="20"/>
          <w:szCs w:val="20"/>
          <w:color w:val="auto"/>
        </w:rPr>
      </w:pPr>
      <w:r>
        <w:rPr>
          <w:rFonts w:ascii="Arial" w:cs="Arial" w:eastAsia="Arial" w:hAnsi="Arial"/>
          <w:sz w:val="18"/>
          <w:szCs w:val="18"/>
          <w:color w:val="auto"/>
        </w:rPr>
        <w:t>On September 8, 2022, our Board of Directors approved a share repurchase program, under which we are authorized to repurchase up to $25.0 million of our common stock in the open market through December 31, 2024. We intend to fund any repurchases from working capital and cash provided by operating activities. As we continue to focus on our goal of maximizing total shareholder return, the Board of Directors along with the management team believe that a share repurchase program is complimentary to the existing dividend policy and is a tax efficient means to further improve shareholder return.</w:t>
      </w:r>
    </w:p>
    <w:p>
      <w:pPr>
        <w:spacing w:after="0" w:line="246"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color w:val="auto"/>
        </w:rPr>
        <w:t>Once we completed the repayment of borrowings on our Senior Secured Credit Facility and emerged from our blackout period in December 2022, we entered into a Rule 10b5-1 plan that authorizes a broker to repurchase shares in the open market subject to pre-defined limitations on trading volume and price. The plan included a 30-day cooling off period that did not allow repurchases to commence until January 2023. The plan was effective until June 30, 2023 and had a maximum authorized amount of $5.0 million over that period. During the year ended June 30, 2023, 0.6 million shares of our common stock were repurchased under the plan at a total cost of approximately $3.9 million, including incremental direct transaction costs. These treasury shares were subsequently cancelled. We may enter into additional Rule 10b5-1 plans in the future, the terms of which will be approved by the Board of Directors.</w:t>
      </w:r>
    </w:p>
    <w:p>
      <w:pPr>
        <w:spacing w:after="0" w:line="21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25"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color w:val="auto"/>
        </w:rPr>
        <w:t>For the year ended June 30, 2023, we incurred $6.2 million on development capital expenditures and $0.2 million for plugging and abandoning costs. During the latter half of fiscal year 2023, we participated in the completion and fracture stimulation of a vertical Bakken well. Toward the end of fiscal 2023 and into fiscal 2024 we have participated in the drilling of two new down dip wells in the Delhi Field. Completion and first production of the wells are expected in the first quarter of fiscal 2024.</w:t>
      </w:r>
    </w:p>
    <w:p>
      <w:pPr>
        <w:spacing w:after="0" w:line="188"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Based on discussions with our operators, we expect capital workover projects to continue in all the fields. Overall, for fiscal year 2024, we expect budgeted capital expenditures to be in the range of $4.0 million to $5.0 million, which excludes any potential acquisitions. Our expected capital expenditures for the next 12 months include the two new drill wells at Delhi Field, discussed above, and also include Foundation, the operator of our Williston Basin properties, drilling two sidetrack locations targeting the Birdbear formation.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9"/>
        <w:spacing w:after="0" w:line="277" w:lineRule="auto"/>
        <w:rPr>
          <w:sz w:val="20"/>
          <w:szCs w:val="20"/>
          <w:color w:val="auto"/>
        </w:rPr>
      </w:pPr>
      <w:r>
        <w:rPr>
          <w:rFonts w:ascii="Arial" w:cs="Arial" w:eastAsia="Arial" w:hAnsi="Arial"/>
          <w:sz w:val="18"/>
          <w:szCs w:val="18"/>
          <w:color w:val="auto"/>
        </w:rPr>
        <w:t>As of June 30, 2023, our PUD reserves included 3.7 MMBOE of reserves and approximately $71.7 million of future development costs primarily associated with the Williston Basin properties.</w:t>
      </w:r>
    </w:p>
    <w:p>
      <w:pPr>
        <w:spacing w:after="0" w:line="170" w:lineRule="exact"/>
        <w:rPr>
          <w:sz w:val="20"/>
          <w:szCs w:val="20"/>
          <w:color w:val="auto"/>
        </w:rPr>
      </w:pPr>
    </w:p>
    <w:p>
      <w:pPr>
        <w:ind w:left="60" w:right="179"/>
        <w:spacing w:after="0" w:line="308" w:lineRule="auto"/>
        <w:rPr>
          <w:sz w:val="20"/>
          <w:szCs w:val="20"/>
          <w:color w:val="auto"/>
        </w:rPr>
      </w:pPr>
      <w:r>
        <w:rPr>
          <w:rFonts w:ascii="Arial" w:cs="Arial" w:eastAsia="Arial" w:hAnsi="Arial"/>
          <w:sz w:val="17"/>
          <w:szCs w:val="17"/>
          <w:color w:val="auto"/>
        </w:rPr>
        <w:t>Funding for our anticipated capital expenditures over the near-term is expected to be met from cash flows from operations and current working capital, and as needed from borrowings under our Senior Secured Credit Facility.</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Full Cost Pool Ceiling Test</w:t>
      </w:r>
    </w:p>
    <w:p>
      <w:pPr>
        <w:spacing w:after="0" w:line="225" w:lineRule="exact"/>
        <w:rPr>
          <w:sz w:val="20"/>
          <w:szCs w:val="20"/>
          <w:color w:val="auto"/>
        </w:rPr>
      </w:pPr>
    </w:p>
    <w:p>
      <w:pPr>
        <w:ind w:left="60" w:right="99"/>
        <w:spacing w:after="0" w:line="284" w:lineRule="auto"/>
        <w:rPr>
          <w:sz w:val="20"/>
          <w:szCs w:val="20"/>
          <w:color w:val="auto"/>
        </w:rPr>
      </w:pPr>
      <w:r>
        <w:rPr>
          <w:rFonts w:ascii="Arial" w:cs="Arial" w:eastAsia="Arial" w:hAnsi="Arial"/>
          <w:sz w:val="16"/>
          <w:szCs w:val="16"/>
          <w:color w:val="auto"/>
        </w:rPr>
        <w:t>Under the full cost method of accounting, capitalized costs of oil and natural gas properties, net of accumulated depletion, depreciation, and amortization and related deferred taxes, are limited to the estimated future net cash flows from proved oil and natural gas reserves, discounted at 10%, plus the lower of cost or fair value of unproved properties, as adjusted for related income tax effects (the valuation “ceiling”). If capitalized costs exceed the full cost ceiling, the excess would be charged to expense as a write-down of oil and natural gas properties in the quarter in which the excess occurred. The quarterly ceiling test calculation requires that we use the average first day of the month price for our petroleum products during the 12-month period ending with the balance sheet date. The prices used in calculating our ceiling test as of</w:t>
      </w:r>
    </w:p>
    <w:p>
      <w:pPr>
        <w:spacing w:after="0" w:line="2" w:lineRule="exact"/>
        <w:rPr>
          <w:sz w:val="20"/>
          <w:szCs w:val="20"/>
          <w:color w:val="auto"/>
        </w:rPr>
      </w:pPr>
    </w:p>
    <w:p>
      <w:pPr>
        <w:ind w:left="60" w:right="79"/>
        <w:spacing w:after="0" w:line="288" w:lineRule="auto"/>
        <w:rPr>
          <w:sz w:val="20"/>
          <w:szCs w:val="20"/>
          <w:color w:val="auto"/>
        </w:rPr>
      </w:pPr>
      <w:r>
        <w:rPr>
          <w:rFonts w:ascii="Arial" w:cs="Arial" w:eastAsia="Arial" w:hAnsi="Arial"/>
          <w:sz w:val="16"/>
          <w:szCs w:val="16"/>
          <w:color w:val="auto"/>
        </w:rPr>
        <w:t>June 30, 2023 were $83.23 per barrel of oil, $4.78 per MMBtu of natural gas and $33.71 per barrel of NGLs. As of June 30, 2023, our capitalized costs of oil and natural gas properties were below the full cost valuation ceiling. If commodity price levels were to substantially decline from the 12-month average first day of the month pricing levels as of June 30, 2023 and remain down for a prolonged period of time, our valuation ceiling over our capitalized costs may be reduced and adversely impact our ceiling tests in future quarters. We cannot give assurance that a write-down of capitalized oil and natural gas properties will not be required in the future. Additionally, a 10% reduction in respective commodity prices at June 30, 2023, while all other factors remained constant, would not have generated an impairment.</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 of Cash Flow Activities</w:t>
      </w:r>
    </w:p>
    <w:p>
      <w:pPr>
        <w:spacing w:after="0" w:line="239" w:lineRule="exact"/>
        <w:rPr>
          <w:sz w:val="20"/>
          <w:szCs w:val="20"/>
          <w:color w:val="auto"/>
        </w:rPr>
      </w:pPr>
    </w:p>
    <w:tbl>
      <w:tblPr>
        <w:tblLayout w:type="fixed"/>
        <w:tblInd w:w="9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5"/>
          </w:tcPr>
          <w:p>
            <w:pPr>
              <w:ind w:left="120"/>
              <w:spacing w:after="0"/>
              <w:rPr>
                <w:sz w:val="20"/>
                <w:szCs w:val="20"/>
                <w:color w:val="auto"/>
              </w:rPr>
            </w:pPr>
            <w:r>
              <w:rPr>
                <w:rFonts w:ascii="Arial" w:cs="Arial" w:eastAsia="Arial" w:hAnsi="Arial"/>
                <w:sz w:val="16"/>
                <w:szCs w:val="16"/>
                <w:b w:val="1"/>
                <w:bCs w:val="1"/>
                <w:color w:val="auto"/>
              </w:rPr>
              <w:t>Years Ended June 30,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7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2023</w:t>
            </w:r>
          </w:p>
        </w:tc>
        <w:tc>
          <w:tcPr>
            <w:tcW w:w="20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8"/>
              </w:rPr>
              <w:t>Change</w:t>
            </w:r>
          </w:p>
        </w:tc>
      </w:tr>
      <w:tr>
        <w:trPr>
          <w:trHeight w:val="196"/>
        </w:trPr>
        <w:tc>
          <w:tcPr>
            <w:tcW w:w="20" w:type="dxa"/>
            <w:vAlign w:val="bottom"/>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Cash flows provided by operating activities</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51,272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52,460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(1,188)</w:t>
            </w:r>
          </w:p>
        </w:tc>
      </w:tr>
      <w:tr>
        <w:trPr>
          <w:trHeight w:val="203"/>
        </w:trPr>
        <w:tc>
          <w:tcPr>
            <w:tcW w:w="2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Arial" w:cs="Arial" w:eastAsia="Arial" w:hAnsi="Arial"/>
                <w:sz w:val="16"/>
                <w:szCs w:val="16"/>
                <w:color w:val="auto"/>
              </w:rPr>
              <w:t>Cash flows used in investing activities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(6,992)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(54,873)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47,881</w:t>
            </w:r>
          </w:p>
        </w:tc>
      </w:tr>
      <w:tr>
        <w:trPr>
          <w:trHeight w:val="203"/>
        </w:trPr>
        <w:tc>
          <w:tcPr>
            <w:tcW w:w="20" w:type="dxa"/>
            <w:vAlign w:val="bottom"/>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Cash flows (used in) provided by financing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(41,526)</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5,416</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(46,942)</w:t>
            </w:r>
          </w:p>
        </w:tc>
      </w:tr>
      <w:tr>
        <w:trPr>
          <w:trHeight w:val="196"/>
        </w:trPr>
        <w:tc>
          <w:tcPr>
            <w:tcW w:w="3720" w:type="dxa"/>
            <w:vAlign w:val="bottom"/>
            <w:gridSpan w:val="2"/>
          </w:tcPr>
          <w:p>
            <w:pPr>
              <w:spacing w:after="0"/>
              <w:rPr>
                <w:sz w:val="20"/>
                <w:szCs w:val="20"/>
                <w:color w:val="auto"/>
              </w:rPr>
            </w:pPr>
            <w:r>
              <w:rPr>
                <w:rFonts w:ascii="Arial" w:cs="Arial" w:eastAsia="Arial" w:hAnsi="Arial"/>
                <w:sz w:val="16"/>
                <w:szCs w:val="16"/>
                <w:color w:val="auto"/>
              </w:rPr>
              <w:t>Net increase in cash and cash equivalents</w:t>
            </w: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2,754</w:t>
            </w: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3,003</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w:t>
            </w: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99"/>
        <w:spacing w:after="0" w:line="293" w:lineRule="auto"/>
        <w:rPr>
          <w:sz w:val="20"/>
          <w:szCs w:val="20"/>
          <w:color w:val="auto"/>
        </w:rPr>
      </w:pPr>
      <w:r>
        <w:rPr>
          <w:rFonts w:ascii="Arial" w:cs="Arial" w:eastAsia="Arial" w:hAnsi="Arial"/>
          <w:sz w:val="16"/>
          <w:szCs w:val="16"/>
          <w:color w:val="auto"/>
        </w:rPr>
        <w:t>Cash provided by operating activities decreased $1.2 million during the fiscal year ended June 30, 2023 compared to fiscal year ended June 30, 2022 primarily due to decreases in our operating assets and liabilities from the timing of converting working capital into cash. These decreases are partially offset by increases in total revenues over our increase in operating costs. Total revenues increased $19.6 million as compared to the prior year driven by an increase in our average daily production primarily due to our acquisition of non-operated working interests in the Jonah Field and Williston Basin in April 2022 and January 2022, respectively, partially offset by decreases in the average realized price per BOE.</w:t>
      </w:r>
    </w:p>
    <w:p>
      <w:pPr>
        <w:spacing w:after="0" w:line="164" w:lineRule="exact"/>
        <w:rPr>
          <w:sz w:val="20"/>
          <w:szCs w:val="20"/>
          <w:color w:val="auto"/>
        </w:rPr>
      </w:pPr>
    </w:p>
    <w:p>
      <w:pPr>
        <w:jc w:val="both"/>
        <w:ind w:left="60" w:right="419"/>
        <w:spacing w:after="0" w:line="259" w:lineRule="auto"/>
        <w:rPr>
          <w:sz w:val="20"/>
          <w:szCs w:val="20"/>
          <w:color w:val="auto"/>
        </w:rPr>
      </w:pPr>
      <w:r>
        <w:rPr>
          <w:rFonts w:ascii="Arial" w:cs="Arial" w:eastAsia="Arial" w:hAnsi="Arial"/>
          <w:sz w:val="18"/>
          <w:szCs w:val="18"/>
          <w:color w:val="auto"/>
        </w:rPr>
        <w:t>Cash used in investing activities for the year ended June 30, 2023 decreased $47.9 million from the prior year. In fiscal year 2022, we completed the acquisition of our Jonah Field properties totaling $26.4 million and the acquisition of our Williston Basin properties total $25.8 million. The decrease was partially offset by an increase in development capital expenditures in the current fiscal year.</w:t>
      </w:r>
    </w:p>
    <w:p>
      <w:pPr>
        <w:spacing w:after="0" w:line="187"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color w:val="auto"/>
        </w:rPr>
        <w:t>Net cash flows used in financing activities for the year ended June 30, 2023 were $41.5 million which included the repayment of $21.3 million of borrowings outstanding under our Senior Secured Credit Facility, $16.1 million in dividends paid to our common stockholders, and $3.9 million paid to repurchase shares of common stock under our share repurchase program. Net cash flows provided by financing activities for the year ended June 30, 2022 were $5.4 million which primarily included $17.3 million in net borrowings under our Senior Secured Credit Facility offset by $11.8 million in dividends paid to our common stockholders.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June 30, 2023 and 2022</w:t>
      </w:r>
    </w:p>
    <w:p>
      <w:pPr>
        <w:spacing w:after="0" w:line="121" w:lineRule="exact"/>
        <w:rPr>
          <w:sz w:val="20"/>
          <w:szCs w:val="20"/>
          <w:color w:val="auto"/>
        </w:rPr>
      </w:pPr>
    </w:p>
    <w:p>
      <w:pPr>
        <w:ind w:left="60" w:right="219"/>
        <w:spacing w:after="0" w:line="308" w:lineRule="auto"/>
        <w:rPr>
          <w:sz w:val="20"/>
          <w:szCs w:val="20"/>
          <w:color w:val="auto"/>
        </w:rPr>
      </w:pPr>
      <w:r>
        <w:rPr>
          <w:rFonts w:ascii="Arial" w:cs="Arial" w:eastAsia="Arial" w:hAnsi="Arial"/>
          <w:sz w:val="17"/>
          <w:szCs w:val="17"/>
          <w:color w:val="auto"/>
        </w:rPr>
        <w:t>We reported net income of $35.2 million and $32.6 million for the years ended June 30, 2023 and 2022, respectively. The following table summarizes the comparison of financial information for the periods presented:</w:t>
      </w:r>
    </w:p>
    <w:p>
      <w:pPr>
        <w:spacing w:after="0" w:line="160" w:lineRule="exact"/>
        <w:rPr>
          <w:sz w:val="20"/>
          <w:szCs w:val="20"/>
          <w:color w:val="auto"/>
        </w:rPr>
      </w:pPr>
    </w:p>
    <w:p>
      <w:pPr>
        <w:ind w:left="4520"/>
        <w:spacing w:after="0"/>
        <w:rPr>
          <w:sz w:val="20"/>
          <w:szCs w:val="20"/>
          <w:color w:val="auto"/>
        </w:rPr>
      </w:pPr>
      <w:r>
        <w:rPr>
          <w:rFonts w:ascii="Arial" w:cs="Arial" w:eastAsia="Arial" w:hAnsi="Arial"/>
          <w:sz w:val="16"/>
          <w:szCs w:val="16"/>
          <w:b w:val="1"/>
          <w:bCs w:val="1"/>
          <w:color w:val="auto"/>
        </w:rPr>
        <w:t>Years Ended June 30,</w:t>
      </w:r>
    </w:p>
    <w:p>
      <w:pPr>
        <w:spacing w:after="0" w:line="6"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414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 except per unit and per BOE amounts)</w:t>
            </w: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8"/>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8"/>
              <w:spacing w:after="0"/>
              <w:rPr>
                <w:sz w:val="20"/>
                <w:szCs w:val="20"/>
                <w:color w:val="auto"/>
              </w:rPr>
            </w:pPr>
            <w:r>
              <w:rPr>
                <w:rFonts w:ascii="Arial" w:cs="Arial" w:eastAsia="Arial" w:hAnsi="Arial"/>
                <w:sz w:val="16"/>
                <w:szCs w:val="16"/>
                <w:b w:val="1"/>
                <w:bCs w:val="1"/>
                <w:color w:val="auto"/>
              </w:rPr>
              <w:t>2022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Variance</w:t>
            </w:r>
          </w:p>
        </w:tc>
        <w:tc>
          <w:tcPr>
            <w:tcW w:w="108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Variance %</w:t>
            </w:r>
          </w:p>
        </w:tc>
      </w:tr>
      <w:tr>
        <w:trPr>
          <w:trHeight w:val="142"/>
        </w:trPr>
        <w:tc>
          <w:tcPr>
            <w:tcW w:w="392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Net income (loss)</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35,217</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32,628</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2,589</w:t>
            </w: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7.9</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Revenues: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Crude oil</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51,044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52,683</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(1,639)</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Natural gas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63,800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39,174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24,626</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62.9</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1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Natural gas liquids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13,670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17,069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(3,399)</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2"/>
        </w:trPr>
        <w:tc>
          <w:tcPr>
            <w:tcW w:w="4140" w:type="dxa"/>
            <w:vAlign w:val="bottom"/>
            <w:gridSpan w:val="3"/>
          </w:tcPr>
          <w:p>
            <w:pPr>
              <w:ind w:left="120"/>
              <w:spacing w:after="0" w:line="142" w:lineRule="exact"/>
              <w:rPr>
                <w:sz w:val="20"/>
                <w:szCs w:val="20"/>
                <w:color w:val="auto"/>
              </w:rPr>
            </w:pPr>
            <w:r>
              <w:rPr>
                <w:rFonts w:ascii="Arial" w:cs="Arial" w:eastAsia="Arial" w:hAnsi="Arial"/>
                <w:sz w:val="14"/>
                <w:szCs w:val="14"/>
                <w:color w:val="auto"/>
              </w:rPr>
              <w:t>Total revenues</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128,514</w:t>
            </w: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108,926</w:t>
            </w: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19,588</w:t>
            </w:r>
          </w:p>
        </w:tc>
        <w:tc>
          <w:tcPr>
            <w:tcW w:w="220" w:type="dxa"/>
            <w:vAlign w:val="bottom"/>
          </w:tcPr>
          <w:p>
            <w:pPr>
              <w:spacing w:after="0"/>
              <w:rPr>
                <w:sz w:val="12"/>
                <w:szCs w:val="12"/>
                <w:color w:val="auto"/>
              </w:rPr>
            </w:pPr>
          </w:p>
        </w:tc>
        <w:tc>
          <w:tcPr>
            <w:tcW w:w="860" w:type="dxa"/>
            <w:vAlign w:val="bottom"/>
          </w:tcPr>
          <w:p>
            <w:pPr>
              <w:jc w:val="right"/>
              <w:ind w:right="8"/>
              <w:spacing w:after="0" w:line="142" w:lineRule="exact"/>
              <w:rPr>
                <w:sz w:val="20"/>
                <w:szCs w:val="20"/>
                <w:color w:val="auto"/>
              </w:rPr>
            </w:pPr>
            <w:r>
              <w:rPr>
                <w:rFonts w:ascii="Arial" w:cs="Arial" w:eastAsia="Arial" w:hAnsi="Arial"/>
                <w:sz w:val="14"/>
                <w:szCs w:val="14"/>
                <w:color w:val="auto"/>
              </w:rPr>
              <w:t>18.0</w:t>
            </w:r>
          </w:p>
        </w:tc>
        <w:tc>
          <w:tcPr>
            <w:tcW w:w="2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Operating costs: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8"/>
        </w:trPr>
        <w:tc>
          <w:tcPr>
            <w:tcW w:w="41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Lease operating costs: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89"/>
        </w:trPr>
        <w:tc>
          <w:tcPr>
            <w:tcW w:w="4140" w:type="dxa"/>
            <w:vAlign w:val="bottom"/>
            <w:gridSpan w:val="3"/>
            <w:shd w:val="clear" w:color="auto" w:fill="CCEEFF"/>
          </w:tcPr>
          <w:p>
            <w:pPr>
              <w:ind w:left="220"/>
              <w:spacing w:after="0" w:line="189" w:lineRule="exact"/>
              <w:rPr>
                <w:sz w:val="20"/>
                <w:szCs w:val="20"/>
                <w:color w:val="auto"/>
              </w:rPr>
            </w:pPr>
            <w:r>
              <w:rPr>
                <w:rFonts w:ascii="Arial" w:cs="Arial" w:eastAsia="Arial" w:hAnsi="Arial"/>
                <w:sz w:val="14"/>
                <w:szCs w:val="14"/>
                <w:color w:val="auto"/>
              </w:rPr>
              <w:t>CO</w:t>
            </w:r>
            <w:r>
              <w:rPr>
                <w:rFonts w:ascii="Arial" w:cs="Arial" w:eastAsia="Arial" w:hAnsi="Arial"/>
                <w:sz w:val="21"/>
                <w:szCs w:val="21"/>
                <w:color w:val="auto"/>
                <w:vertAlign w:val="subscript"/>
              </w:rPr>
              <w:t>2</w:t>
            </w:r>
            <w:r>
              <w:rPr>
                <w:rFonts w:ascii="Arial" w:cs="Arial" w:eastAsia="Arial" w:hAnsi="Arial"/>
                <w:sz w:val="14"/>
                <w:szCs w:val="14"/>
                <w:color w:val="auto"/>
              </w:rPr>
              <w:t xml:space="preserve"> costs</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7,375</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7,708</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(333)</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Ad valorem and production taxes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8,158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6,960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1,198</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17.2</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14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lease operating costs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44,012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33,989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10,023</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29.5</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Depletion, depreciation, and accretion:</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Depletion of full cost proved oil and natural gas properties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13,142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7,518</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5,624</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74.8</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Depreciation of other property and equipment</w:t>
            </w:r>
          </w:p>
        </w:tc>
        <w:tc>
          <w:tcPr>
            <w:tcW w:w="20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(100.0)</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Accretion of asset retirement obligations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531</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113.0</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General and administrative expenses: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414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General and administrative</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7,944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6,710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1,234</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18.4</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Stock-based compensation</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1,639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125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1,514</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1,211.2</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Other income (expense):</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8"/>
        </w:trPr>
        <w:tc>
          <w:tcPr>
            <w:tcW w:w="41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Net gain (loss) on derivative contracts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513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(3,763)</w:t>
            </w: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4,276</w:t>
            </w: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(113.6)</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1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Interest and other income</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27.4</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Interest expense</w:t>
            </w:r>
          </w:p>
        </w:tc>
        <w:tc>
          <w:tcPr>
            <w:tcW w:w="2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(458)</w:t>
            </w:r>
          </w:p>
        </w:tc>
        <w:tc>
          <w:tcPr>
            <w:tcW w:w="2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(572)</w:t>
            </w: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114</w:t>
            </w: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(19.9)</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14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Income tax (expense) benefit</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(10,072)</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(8,513)</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(1,559)</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18.3</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22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Production:</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9"/>
        </w:trPr>
        <w:tc>
          <w:tcPr>
            <w:tcW w:w="41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Crude oil (MBBL)</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659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619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6.5</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Natural gas (MMCF)</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9,109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7,141</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1,968</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27.6</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Natural gas liquids (MBBL)</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416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364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52</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14.3</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14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2"/>
                <w:szCs w:val="12"/>
                <w:color w:val="auto"/>
              </w:rPr>
              <w:t>Equivalent (MBOE)</w:t>
            </w:r>
            <w:r>
              <w:rPr>
                <w:rFonts w:ascii="Arial" w:cs="Arial" w:eastAsia="Arial" w:hAnsi="Arial"/>
                <w:sz w:val="17"/>
                <w:szCs w:val="17"/>
                <w:i w:val="1"/>
                <w:iCs w:val="1"/>
                <w:color w:val="auto"/>
                <w:vertAlign w:val="superscript"/>
              </w:rPr>
              <w:t>(1)</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2,173</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19.3</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tcPr>
          <w:p>
            <w:pPr>
              <w:ind w:left="20"/>
              <w:spacing w:after="0" w:line="149" w:lineRule="exact"/>
              <w:rPr>
                <w:sz w:val="20"/>
                <w:szCs w:val="20"/>
                <w:color w:val="auto"/>
              </w:rPr>
            </w:pPr>
            <w:r>
              <w:rPr>
                <w:rFonts w:ascii="Arial" w:cs="Arial" w:eastAsia="Arial" w:hAnsi="Arial"/>
                <w:sz w:val="12"/>
                <w:szCs w:val="12"/>
                <w:color w:val="auto"/>
              </w:rPr>
              <w:t>Average daily production (BOEPD)</w:t>
            </w:r>
            <w:r>
              <w:rPr>
                <w:rFonts w:ascii="Arial" w:cs="Arial" w:eastAsia="Arial" w:hAnsi="Arial"/>
                <w:sz w:val="17"/>
                <w:szCs w:val="17"/>
                <w:i w:val="1"/>
                <w:iCs w:val="1"/>
                <w:color w:val="auto"/>
                <w:vertAlign w:val="superscript"/>
              </w:rPr>
              <w:t>(1)</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7,104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5,953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1,151</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19.3</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224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8"/>
        </w:trPr>
        <w:tc>
          <w:tcPr>
            <w:tcW w:w="4140" w:type="dxa"/>
            <w:vAlign w:val="bottom"/>
            <w:gridSpan w:val="3"/>
          </w:tcPr>
          <w:p>
            <w:pPr>
              <w:ind w:left="20"/>
              <w:spacing w:after="0" w:line="149" w:lineRule="exact"/>
              <w:rPr>
                <w:sz w:val="20"/>
                <w:szCs w:val="20"/>
                <w:color w:val="auto"/>
              </w:rPr>
            </w:pPr>
            <w:r>
              <w:rPr>
                <w:rFonts w:ascii="Arial" w:cs="Arial" w:eastAsia="Arial" w:hAnsi="Arial"/>
                <w:sz w:val="12"/>
                <w:szCs w:val="12"/>
                <w:b w:val="1"/>
                <w:bCs w:val="1"/>
                <w:color w:val="auto"/>
              </w:rPr>
              <w:t>Average price per unit</w:t>
            </w:r>
            <w:r>
              <w:rPr>
                <w:rFonts w:ascii="Arial" w:cs="Arial" w:eastAsia="Arial" w:hAnsi="Arial"/>
                <w:sz w:val="17"/>
                <w:szCs w:val="17"/>
                <w:i w:val="1"/>
                <w:iCs w:val="1"/>
                <w:color w:val="auto"/>
                <w:vertAlign w:val="superscript"/>
              </w:rPr>
              <w:t>(2)</w:t>
            </w:r>
            <w:r>
              <w:rPr>
                <w:rFonts w:ascii="Arial" w:cs="Arial" w:eastAsia="Arial" w:hAnsi="Arial"/>
                <w:sz w:val="12"/>
                <w:szCs w:val="12"/>
                <w:b w:val="1"/>
                <w:bCs w:val="1"/>
                <w:color w:val="auto"/>
              </w:rPr>
              <w:t>:</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Crude oil (BBL)</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77.46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85.11</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(7.65)</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1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Natural gas (MCF)</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7.00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5.49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1.51</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27.5</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Natural Gas Liquids (BBL)</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46.89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(14.03)</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(29.9) %</w:t>
            </w:r>
          </w:p>
        </w:tc>
      </w:tr>
      <w:tr>
        <w:trPr>
          <w:trHeight w:val="148"/>
        </w:trPr>
        <w:tc>
          <w:tcPr>
            <w:tcW w:w="4140" w:type="dxa"/>
            <w:vAlign w:val="bottom"/>
            <w:gridSpan w:val="3"/>
          </w:tcPr>
          <w:p>
            <w:pPr>
              <w:ind w:left="20"/>
              <w:spacing w:after="0" w:line="149" w:lineRule="exact"/>
              <w:rPr>
                <w:sz w:val="20"/>
                <w:szCs w:val="20"/>
                <w:color w:val="auto"/>
              </w:rPr>
            </w:pPr>
            <w:r>
              <w:rPr>
                <w:rFonts w:ascii="Arial" w:cs="Arial" w:eastAsia="Arial" w:hAnsi="Arial"/>
                <w:sz w:val="12"/>
                <w:szCs w:val="12"/>
                <w:color w:val="auto"/>
              </w:rPr>
              <w:t>Equivalent (BOE)</w:t>
            </w:r>
            <w:r>
              <w:rPr>
                <w:rFonts w:ascii="Arial" w:cs="Arial" w:eastAsia="Arial" w:hAnsi="Arial"/>
                <w:sz w:val="17"/>
                <w:szCs w:val="17"/>
                <w:i w:val="1"/>
                <w:iCs w:val="1"/>
                <w:color w:val="auto"/>
                <w:vertAlign w:val="superscript"/>
              </w:rPr>
              <w:t>(1)</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49.56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50.13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(0.57)</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 %</w:t>
            </w:r>
          </w:p>
        </w:tc>
      </w:tr>
      <w:tr>
        <w:trPr>
          <w:trHeight w:val="149"/>
        </w:trPr>
        <w:tc>
          <w:tcPr>
            <w:tcW w:w="224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8"/>
        </w:trPr>
        <w:tc>
          <w:tcPr>
            <w:tcW w:w="4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Average cost per unit:</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414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Operating costs: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8"/>
        </w:trPr>
        <w:tc>
          <w:tcPr>
            <w:tcW w:w="41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Lease operating costs: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89"/>
        </w:trPr>
        <w:tc>
          <w:tcPr>
            <w:tcW w:w="4140" w:type="dxa"/>
            <w:vAlign w:val="bottom"/>
            <w:gridSpan w:val="3"/>
            <w:shd w:val="clear" w:color="auto" w:fill="CCEEFF"/>
          </w:tcPr>
          <w:p>
            <w:pPr>
              <w:ind w:left="220"/>
              <w:spacing w:after="0" w:line="189" w:lineRule="exact"/>
              <w:rPr>
                <w:sz w:val="20"/>
                <w:szCs w:val="20"/>
                <w:color w:val="auto"/>
              </w:rPr>
            </w:pPr>
            <w:r>
              <w:rPr>
                <w:rFonts w:ascii="Arial" w:cs="Arial" w:eastAsia="Arial" w:hAnsi="Arial"/>
                <w:sz w:val="14"/>
                <w:szCs w:val="14"/>
                <w:color w:val="auto"/>
              </w:rPr>
              <w:t>CO</w:t>
            </w:r>
            <w:r>
              <w:rPr>
                <w:rFonts w:ascii="Arial" w:cs="Arial" w:eastAsia="Arial" w:hAnsi="Arial"/>
                <w:sz w:val="21"/>
                <w:szCs w:val="21"/>
                <w:color w:val="auto"/>
                <w:vertAlign w:val="subscript"/>
              </w:rPr>
              <w:t>2</w:t>
            </w:r>
            <w:r>
              <w:rPr>
                <w:rFonts w:ascii="Arial" w:cs="Arial" w:eastAsia="Arial" w:hAnsi="Arial"/>
                <w:sz w:val="14"/>
                <w:szCs w:val="14"/>
                <w:color w:val="auto"/>
              </w:rPr>
              <w:t xml:space="preserve"> costs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(0.71)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 %</w:t>
            </w:r>
          </w:p>
        </w:tc>
      </w:tr>
      <w:tr>
        <w:trPr>
          <w:trHeight w:val="149"/>
        </w:trPr>
        <w:tc>
          <w:tcPr>
            <w:tcW w:w="414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Ad valorem and production taxes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3.15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3.20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(0.05)</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lease operating costs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16.97</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15.64</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8.5</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1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Depletion of full cost proved oil and natural gas properties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5.07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3.46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1.61</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46.5</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General and administrative expenses: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8"/>
        </w:trPr>
        <w:tc>
          <w:tcPr>
            <w:tcW w:w="414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General and administrative</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3.06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3.09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(0.03)</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14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Stock-based compensation</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0.06</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0.57</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950.0</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35"/>
        </w:trPr>
        <w:tc>
          <w:tcPr>
            <w:tcW w:w="2240" w:type="dxa"/>
            <w:vAlign w:val="bottom"/>
            <w:tcBorders>
              <w:bottom w:val="single" w:sz="8" w:color="auto"/>
            </w:tcBorders>
          </w:tcPr>
          <w:p>
            <w:pPr>
              <w:spacing w:after="0"/>
              <w:rPr>
                <w:sz w:val="11"/>
                <w:szCs w:val="11"/>
                <w:color w:val="auto"/>
              </w:rPr>
            </w:pPr>
          </w:p>
        </w:tc>
        <w:tc>
          <w:tcPr>
            <w:tcW w:w="1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r>
    </w:tbl>
    <w:p>
      <w:pPr>
        <w:spacing w:after="0" w:line="89" w:lineRule="exact"/>
        <w:rPr>
          <w:sz w:val="20"/>
          <w:szCs w:val="20"/>
          <w:color w:val="auto"/>
        </w:rPr>
      </w:pPr>
    </w:p>
    <w:p>
      <w:pPr>
        <w:ind w:left="380" w:right="159" w:hanging="330"/>
        <w:spacing w:after="0" w:line="227" w:lineRule="auto"/>
        <w:tabs>
          <w:tab w:leader="none" w:pos="380" w:val="left"/>
        </w:tabs>
        <w:numPr>
          <w:ilvl w:val="0"/>
          <w:numId w:val="23"/>
        </w:numPr>
        <w:rPr>
          <w:rFonts w:ascii="Arial" w:cs="Arial" w:eastAsia="Arial" w:hAnsi="Arial"/>
          <w:sz w:val="13"/>
          <w:szCs w:val="13"/>
          <w:b w:val="1"/>
          <w:bCs w:val="1"/>
          <w:i w:val="1"/>
          <w:iCs w:val="1"/>
          <w:color w:val="auto"/>
        </w:rPr>
      </w:pPr>
      <w:r>
        <w:rPr>
          <w:rFonts w:ascii="Arial" w:cs="Arial" w:eastAsia="Arial" w:hAnsi="Arial"/>
          <w:sz w:val="14"/>
          <w:szCs w:val="14"/>
          <w:color w:val="auto"/>
        </w:rPr>
        <w:t>Equivalent oil reserves are defined as six MCF of natural gas and 42 gallons of NGLs to one barrel of oil conversion ratio which reflects energy equivalence and not price equivalence. Natural gas prices per MCF and NGL prices per barrel often differ significantly from the equivalent amount of oil.</w:t>
      </w:r>
    </w:p>
    <w:p>
      <w:pPr>
        <w:ind w:left="380" w:hanging="330"/>
        <w:spacing w:after="0"/>
        <w:tabs>
          <w:tab w:leader="none" w:pos="380" w:val="left"/>
        </w:tabs>
        <w:numPr>
          <w:ilvl w:val="0"/>
          <w:numId w:val="23"/>
        </w:numPr>
        <w:rPr>
          <w:rFonts w:ascii="Arial" w:cs="Arial" w:eastAsia="Arial" w:hAnsi="Arial"/>
          <w:sz w:val="13"/>
          <w:szCs w:val="13"/>
          <w:b w:val="1"/>
          <w:bCs w:val="1"/>
          <w:i w:val="1"/>
          <w:iCs w:val="1"/>
          <w:color w:val="auto"/>
        </w:rPr>
      </w:pPr>
      <w:r>
        <w:rPr>
          <w:rFonts w:ascii="Arial" w:cs="Arial" w:eastAsia="Arial" w:hAnsi="Arial"/>
          <w:sz w:val="13"/>
          <w:szCs w:val="13"/>
          <w:color w:val="auto"/>
        </w:rPr>
        <w:t>Amounts exclude the impact of cash paid or received on the settlement of derivative contracts since we did not elect to apply hedge accounting.</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left="60" w:right="99"/>
        <w:spacing w:after="0" w:line="287" w:lineRule="auto"/>
        <w:rPr>
          <w:sz w:val="20"/>
          <w:szCs w:val="20"/>
          <w:color w:val="auto"/>
        </w:rPr>
      </w:pPr>
      <w:r>
        <w:rPr>
          <w:rFonts w:ascii="Arial" w:cs="Arial" w:eastAsia="Arial" w:hAnsi="Arial"/>
          <w:sz w:val="16"/>
          <w:szCs w:val="16"/>
          <w:color w:val="auto"/>
        </w:rPr>
        <w:t>Fiscal year ended June 30, 2023 revenues increased 18.0% to $128.5 million compared to $108.9 million for the fiscal year ended June 30, 2022. The increase in revenue is primarily due to our acquisitions of non-operated working interests in the Jonah Field and Williston Basin in the second half of fiscal year 2022. Average daily equivalent production increased</w:t>
      </w:r>
    </w:p>
    <w:p>
      <w:pPr>
        <w:spacing w:after="0" w:line="2" w:lineRule="exact"/>
        <w:rPr>
          <w:sz w:val="20"/>
          <w:szCs w:val="20"/>
          <w:color w:val="auto"/>
        </w:rPr>
      </w:pPr>
    </w:p>
    <w:p>
      <w:pPr>
        <w:ind w:left="60" w:right="139"/>
        <w:spacing w:after="0" w:line="267" w:lineRule="auto"/>
        <w:rPr>
          <w:sz w:val="20"/>
          <w:szCs w:val="20"/>
          <w:color w:val="auto"/>
        </w:rPr>
      </w:pPr>
      <w:r>
        <w:rPr>
          <w:rFonts w:ascii="Arial" w:cs="Arial" w:eastAsia="Arial" w:hAnsi="Arial"/>
          <w:sz w:val="17"/>
          <w:szCs w:val="17"/>
          <w:color w:val="auto"/>
        </w:rPr>
        <w:t>19.3%, from 5,953 BOEPD to 7,104 BOEPD in the current year. Production increases were driven by our acquisitions of non-operated working interests in the Jonah Field and Williston Basin in the second half of fiscal 2022, which increased current fiscal year production by approximately 1,621 BOEPD. The increase in our average daily production from our acquisitions was partially offset by decreases related to downtime at our Barnett Shale properties due to compressor and pipeline repairs as well as shut-in wells and our Delhi Field properties due to winter storms, and Delhi heat exchanger upgrade installation and NGL plant repairs during the fourth fiscal quarter. Our average realized commodity price (excluding the impact of derivative contracts) decreased approximately $0.57 per BOE, or 1.1%, for the fiscal year ended June 30, 2023 compared to June 30, 2022. Realized oil and NGL prices decreased approximately 9.0% and 29.9% respectively, over the prior year. These decreases are partially offset by an increase of approximately 27.5% in realized natural gas prices from the prior year period despite the substantial decrease in natural gas prices that occurred in late third quarter. The year over year increase in realized natural gas prices is primarily attributed to the benefit of natural gas price differentials received at the Jonah Field where our realized price for natural gas for the current year period was $10.63 per MCF.</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Lease Operating Costs</w:t>
      </w:r>
    </w:p>
    <w:p>
      <w:pPr>
        <w:spacing w:after="0" w:line="225" w:lineRule="exact"/>
        <w:rPr>
          <w:sz w:val="20"/>
          <w:szCs w:val="20"/>
          <w:color w:val="auto"/>
        </w:rPr>
      </w:pPr>
    </w:p>
    <w:p>
      <w:pPr>
        <w:ind w:left="60" w:right="219"/>
        <w:spacing w:after="0" w:line="296" w:lineRule="auto"/>
        <w:rPr>
          <w:sz w:val="20"/>
          <w:szCs w:val="20"/>
          <w:color w:val="auto"/>
        </w:rPr>
      </w:pPr>
      <w:r>
        <w:rPr>
          <w:rFonts w:ascii="Arial" w:cs="Arial" w:eastAsia="Arial" w:hAnsi="Arial"/>
          <w:sz w:val="16"/>
          <w:szCs w:val="16"/>
          <w:color w:val="auto"/>
        </w:rPr>
        <w:t>Ad valorem and production taxes were $8.2 million and $7.0 million for the years ended June 30, 2023 and 2022, respectively. The increase in ad valorem and production taxes is primarily due to increased production volumes described above as production taxes are based on sales at the wellhead. On a per unit basis, ad valorem and production taxes were $3.15 per BOE and $3.20 per BOE for the years ended June 30, 2023 and 2022, respectively. The decrease in ad valorem and production taxes on a per unit basis are due to the increased production volumes described above.</w:t>
      </w:r>
    </w:p>
    <w:p>
      <w:pPr>
        <w:spacing w:after="0" w:line="66" w:lineRule="exact"/>
        <w:rPr>
          <w:sz w:val="20"/>
          <w:szCs w:val="20"/>
          <w:color w:val="auto"/>
        </w:rPr>
      </w:pPr>
    </w:p>
    <w:p>
      <w:pPr>
        <w:ind w:left="60" w:right="219"/>
        <w:spacing w:after="0" w:line="278" w:lineRule="auto"/>
        <w:rPr>
          <w:sz w:val="20"/>
          <w:szCs w:val="20"/>
          <w:color w:val="auto"/>
        </w:rPr>
      </w:pPr>
      <w:r>
        <w:rPr>
          <w:rFonts w:ascii="Arial" w:cs="Arial" w:eastAsia="Arial" w:hAnsi="Arial"/>
          <w:sz w:val="16"/>
          <w:szCs w:val="16"/>
          <w:color w:val="auto"/>
        </w:rPr>
        <w:t>The following table summarizes CO</w:t>
      </w:r>
      <w:r>
        <w:rPr>
          <w:rFonts w:ascii="Arial" w:cs="Arial" w:eastAsia="Arial" w:hAnsi="Arial"/>
          <w:sz w:val="23"/>
          <w:szCs w:val="23"/>
          <w:color w:val="auto"/>
          <w:vertAlign w:val="subscript"/>
        </w:rPr>
        <w:t>2</w:t>
      </w:r>
      <w:r>
        <w:rPr>
          <w:rFonts w:ascii="Arial" w:cs="Arial" w:eastAsia="Arial" w:hAnsi="Arial"/>
          <w:sz w:val="16"/>
          <w:szCs w:val="16"/>
          <w:color w:val="auto"/>
        </w:rPr>
        <w:t xml:space="preserve"> costs per Mcf and CO</w:t>
      </w:r>
      <w:r>
        <w:rPr>
          <w:rFonts w:ascii="Arial" w:cs="Arial" w:eastAsia="Arial" w:hAnsi="Arial"/>
          <w:sz w:val="23"/>
          <w:szCs w:val="23"/>
          <w:color w:val="auto"/>
          <w:vertAlign w:val="subscript"/>
        </w:rPr>
        <w:t>2</w:t>
      </w:r>
      <w:r>
        <w:rPr>
          <w:rFonts w:ascii="Arial" w:cs="Arial" w:eastAsia="Arial" w:hAnsi="Arial"/>
          <w:sz w:val="16"/>
          <w:szCs w:val="16"/>
          <w:color w:val="auto"/>
        </w:rPr>
        <w:t xml:space="preserve"> volumes for the years ended June 30, 2023 and 2022. CO</w:t>
      </w:r>
      <w:r>
        <w:rPr>
          <w:rFonts w:ascii="Arial" w:cs="Arial" w:eastAsia="Arial" w:hAnsi="Arial"/>
          <w:sz w:val="23"/>
          <w:szCs w:val="23"/>
          <w:color w:val="auto"/>
          <w:vertAlign w:val="subscript"/>
        </w:rPr>
        <w:t>2</w:t>
      </w:r>
      <w:r>
        <w:rPr>
          <w:rFonts w:ascii="Arial" w:cs="Arial" w:eastAsia="Arial" w:hAnsi="Arial"/>
          <w:sz w:val="16"/>
          <w:szCs w:val="16"/>
          <w:color w:val="auto"/>
        </w:rPr>
        <w:t xml:space="preserve"> purchase costs are for the Delhi Field. Under our contract with the Delhi Field operator, purchased CO</w:t>
      </w:r>
      <w:r>
        <w:rPr>
          <w:rFonts w:ascii="Arial" w:cs="Arial" w:eastAsia="Arial" w:hAnsi="Arial"/>
          <w:sz w:val="23"/>
          <w:szCs w:val="23"/>
          <w:color w:val="auto"/>
          <w:vertAlign w:val="subscript"/>
        </w:rPr>
        <w:t>2</w:t>
      </w:r>
      <w:r>
        <w:rPr>
          <w:rFonts w:ascii="Arial" w:cs="Arial" w:eastAsia="Arial" w:hAnsi="Arial"/>
          <w:sz w:val="16"/>
          <w:szCs w:val="16"/>
          <w:color w:val="auto"/>
        </w:rPr>
        <w:t xml:space="preserve"> is priced at 1% of the realized oil price in the field per Mcf, plus sales taxes and transportation costs as per contract terms.</w:t>
      </w:r>
    </w:p>
    <w:p>
      <w:pPr>
        <w:spacing w:after="0" w:line="175" w:lineRule="exact"/>
        <w:rPr>
          <w:sz w:val="20"/>
          <w:szCs w:val="20"/>
          <w:color w:val="auto"/>
        </w:rPr>
      </w:pPr>
    </w:p>
    <w:p>
      <w:pPr>
        <w:ind w:left="4380"/>
        <w:spacing w:after="0"/>
        <w:rPr>
          <w:sz w:val="20"/>
          <w:szCs w:val="20"/>
          <w:color w:val="auto"/>
        </w:rPr>
      </w:pPr>
      <w:r>
        <w:rPr>
          <w:rFonts w:ascii="Arial" w:cs="Arial" w:eastAsia="Arial" w:hAnsi="Arial"/>
          <w:sz w:val="16"/>
          <w:szCs w:val="16"/>
          <w:b w:val="1"/>
          <w:bCs w:val="1"/>
          <w:color w:val="auto"/>
        </w:rPr>
        <w:t>Years Ended June 30,</w:t>
      </w:r>
    </w:p>
    <w:p>
      <w:pPr>
        <w:spacing w:after="0" w:line="26" w:lineRule="exact"/>
        <w:rPr>
          <w:sz w:val="20"/>
          <w:szCs w:val="20"/>
          <w:color w:val="auto"/>
        </w:rPr>
      </w:pPr>
    </w:p>
    <w:tbl>
      <w:tblPr>
        <w:tblLayout w:type="fixed"/>
        <w:tblInd w:w="90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274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6"/>
                <w:szCs w:val="16"/>
                <w:b w:val="1"/>
                <w:bCs w:val="1"/>
                <w:color w:val="auto"/>
              </w:rPr>
              <w:t>2023</w:t>
            </w:r>
          </w:p>
        </w:tc>
        <w:tc>
          <w:tcPr>
            <w:tcW w:w="18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6"/>
                <w:szCs w:val="16"/>
                <w:b w:val="1"/>
                <w:bCs w:val="1"/>
                <w:color w:val="auto"/>
              </w:rPr>
              <w:t>2022</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5"/>
              </w:rPr>
              <w:t>Variance</w:t>
            </w:r>
          </w:p>
        </w:tc>
        <w:tc>
          <w:tcPr>
            <w:tcW w:w="1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Variance %</w:t>
            </w:r>
          </w:p>
        </w:tc>
      </w:tr>
      <w:tr>
        <w:trPr>
          <w:trHeight w:val="169"/>
        </w:trPr>
        <w:tc>
          <w:tcPr>
            <w:tcW w:w="20" w:type="dxa"/>
            <w:vAlign w:val="bottom"/>
          </w:tcPr>
          <w:p>
            <w:pPr>
              <w:spacing w:after="0"/>
              <w:rPr>
                <w:sz w:val="14"/>
                <w:szCs w:val="14"/>
                <w:color w:val="auto"/>
              </w:rPr>
            </w:pPr>
          </w:p>
        </w:tc>
        <w:tc>
          <w:tcPr>
            <w:tcW w:w="2740" w:type="dxa"/>
            <w:vAlign w:val="bottom"/>
            <w:shd w:val="clear" w:color="auto" w:fill="CCEEFF"/>
          </w:tcPr>
          <w:p>
            <w:pPr>
              <w:spacing w:after="0" w:line="169" w:lineRule="exact"/>
              <w:rPr>
                <w:sz w:val="20"/>
                <w:szCs w:val="20"/>
                <w:color w:val="auto"/>
              </w:rPr>
            </w:pPr>
            <w:r>
              <w:rPr>
                <w:rFonts w:ascii="Arial" w:cs="Arial" w:eastAsia="Arial" w:hAnsi="Arial"/>
                <w:sz w:val="13"/>
                <w:szCs w:val="13"/>
                <w:color w:val="auto"/>
              </w:rPr>
              <w:t>CO</w:t>
            </w:r>
            <w:r>
              <w:rPr>
                <w:rFonts w:ascii="Arial" w:cs="Arial" w:eastAsia="Arial" w:hAnsi="Arial"/>
                <w:sz w:val="19"/>
                <w:szCs w:val="19"/>
                <w:color w:val="auto"/>
                <w:vertAlign w:val="subscript"/>
              </w:rPr>
              <w:t>2</w:t>
            </w:r>
            <w:r>
              <w:rPr>
                <w:rFonts w:ascii="Arial" w:cs="Arial" w:eastAsia="Arial" w:hAnsi="Arial"/>
                <w:sz w:val="13"/>
                <w:szCs w:val="13"/>
                <w:color w:val="auto"/>
              </w:rPr>
              <w:t xml:space="preserve"> costs per MCF</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0.99</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(0.08)</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 %</w:t>
            </w:r>
          </w:p>
        </w:tc>
      </w:tr>
      <w:tr>
        <w:trPr>
          <w:trHeight w:val="281"/>
        </w:trPr>
        <w:tc>
          <w:tcPr>
            <w:tcW w:w="20" w:type="dxa"/>
            <w:vAlign w:val="bottom"/>
          </w:tcPr>
          <w:p>
            <w:pPr>
              <w:spacing w:after="0"/>
              <w:rPr>
                <w:sz w:val="24"/>
                <w:szCs w:val="24"/>
                <w:color w:val="auto"/>
              </w:rPr>
            </w:pPr>
          </w:p>
        </w:tc>
        <w:tc>
          <w:tcPr>
            <w:tcW w:w="2740" w:type="dxa"/>
            <w:vAlign w:val="bottom"/>
          </w:tcPr>
          <w:p>
            <w:pPr>
              <w:spacing w:after="0"/>
              <w:rPr>
                <w:sz w:val="20"/>
                <w:szCs w:val="20"/>
                <w:color w:val="auto"/>
              </w:rPr>
            </w:pPr>
            <w:r>
              <w:rPr>
                <w:rFonts w:ascii="Arial" w:cs="Arial" w:eastAsia="Arial" w:hAnsi="Arial"/>
                <w:sz w:val="14"/>
                <w:szCs w:val="14"/>
                <w:color w:val="auto"/>
              </w:rPr>
              <w:t>CO</w:t>
            </w:r>
            <w:r>
              <w:rPr>
                <w:rFonts w:ascii="Arial" w:cs="Arial" w:eastAsia="Arial" w:hAnsi="Arial"/>
                <w:sz w:val="21"/>
                <w:szCs w:val="21"/>
                <w:color w:val="auto"/>
                <w:vertAlign w:val="subscript"/>
              </w:rPr>
              <w:t>2</w:t>
            </w:r>
            <w:r>
              <w:rPr>
                <w:rFonts w:ascii="Arial" w:cs="Arial" w:eastAsia="Arial" w:hAnsi="Arial"/>
                <w:sz w:val="14"/>
                <w:szCs w:val="14"/>
                <w:color w:val="auto"/>
              </w:rPr>
              <w:t xml:space="preserve"> volumes (MMCF per day, gross)</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85.2</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82.6</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3.1  %</w:t>
            </w:r>
          </w:p>
        </w:tc>
      </w:tr>
    </w:tbl>
    <w:p>
      <w:pPr>
        <w:spacing w:after="0" w:line="14" w:lineRule="exact"/>
        <w:rPr>
          <w:sz w:val="20"/>
          <w:szCs w:val="20"/>
          <w:color w:val="auto"/>
        </w:rPr>
      </w:pPr>
    </w:p>
    <w:p>
      <w:pPr>
        <w:ind w:left="60" w:right="139"/>
        <w:spacing w:after="0" w:line="219" w:lineRule="auto"/>
        <w:rPr>
          <w:sz w:val="20"/>
          <w:szCs w:val="20"/>
          <w:color w:val="auto"/>
        </w:rPr>
      </w:pPr>
      <w:r>
        <w:rPr>
          <w:rFonts w:ascii="Arial" w:cs="Arial" w:eastAsia="Arial" w:hAnsi="Arial"/>
          <w:sz w:val="18"/>
          <w:szCs w:val="18"/>
          <w:color w:val="auto"/>
        </w:rPr>
        <w:t>The $0.3 million decrease in CO</w:t>
      </w:r>
      <w:r>
        <w:rPr>
          <w:rFonts w:ascii="Arial" w:cs="Arial" w:eastAsia="Arial" w:hAnsi="Arial"/>
          <w:sz w:val="26"/>
          <w:szCs w:val="26"/>
          <w:color w:val="auto"/>
          <w:vertAlign w:val="subscript"/>
        </w:rPr>
        <w:t>2</w:t>
      </w:r>
      <w:r>
        <w:rPr>
          <w:rFonts w:ascii="Arial" w:cs="Arial" w:eastAsia="Arial" w:hAnsi="Arial"/>
          <w:sz w:val="18"/>
          <w:szCs w:val="18"/>
          <w:color w:val="auto"/>
        </w:rPr>
        <w:t xml:space="preserve"> costs for the fiscal year ended June 30, 2023 was primarily due to a 7.5% decrease in CO</w:t>
      </w:r>
      <w:r>
        <w:rPr>
          <w:rFonts w:ascii="Arial" w:cs="Arial" w:eastAsia="Arial" w:hAnsi="Arial"/>
          <w:sz w:val="26"/>
          <w:szCs w:val="26"/>
          <w:color w:val="auto"/>
          <w:vertAlign w:val="subscript"/>
        </w:rPr>
        <w:t>2</w:t>
      </w:r>
      <w:r>
        <w:rPr>
          <w:rFonts w:ascii="Arial" w:cs="Arial" w:eastAsia="Arial" w:hAnsi="Arial"/>
          <w:sz w:val="18"/>
          <w:szCs w:val="18"/>
          <w:color w:val="auto"/>
        </w:rPr>
        <w:t xml:space="preserve"> costs per MCF, which was driven by a decrease in our average realized oil price partially offset by a 3.1% increase in purchased CO</w:t>
      </w:r>
      <w:r>
        <w:rPr>
          <w:rFonts w:ascii="Arial" w:cs="Arial" w:eastAsia="Arial" w:hAnsi="Arial"/>
          <w:sz w:val="26"/>
          <w:szCs w:val="26"/>
          <w:color w:val="auto"/>
          <w:vertAlign w:val="subscript"/>
        </w:rPr>
        <w:t>2</w:t>
      </w:r>
      <w:r>
        <w:rPr>
          <w:rFonts w:ascii="Arial" w:cs="Arial" w:eastAsia="Arial" w:hAnsi="Arial"/>
          <w:sz w:val="18"/>
          <w:szCs w:val="18"/>
          <w:color w:val="auto"/>
        </w:rPr>
        <w:t xml:space="preserve"> volumes. CO</w:t>
      </w:r>
      <w:r>
        <w:rPr>
          <w:rFonts w:ascii="Arial" w:cs="Arial" w:eastAsia="Arial" w:hAnsi="Arial"/>
          <w:sz w:val="26"/>
          <w:szCs w:val="26"/>
          <w:color w:val="auto"/>
          <w:vertAlign w:val="subscript"/>
        </w:rPr>
        <w:t>2</w:t>
      </w:r>
      <w:r>
        <w:rPr>
          <w:rFonts w:ascii="Arial" w:cs="Arial" w:eastAsia="Arial" w:hAnsi="Arial"/>
          <w:sz w:val="18"/>
          <w:szCs w:val="18"/>
          <w:color w:val="auto"/>
        </w:rPr>
        <w:t xml:space="preserve"> purchases provide approximately 20% of the injected volumes in the field and the field’s recycle facilities provide the other 80%. We do not have any ownership in the CO</w:t>
      </w:r>
      <w:r>
        <w:rPr>
          <w:rFonts w:ascii="Arial" w:cs="Arial" w:eastAsia="Arial" w:hAnsi="Arial"/>
          <w:sz w:val="26"/>
          <w:szCs w:val="26"/>
          <w:color w:val="auto"/>
          <w:vertAlign w:val="subscript"/>
        </w:rPr>
        <w:t>2</w:t>
      </w:r>
      <w:r>
        <w:rPr>
          <w:rFonts w:ascii="Arial" w:cs="Arial" w:eastAsia="Arial" w:hAnsi="Arial"/>
          <w:sz w:val="18"/>
          <w:szCs w:val="18"/>
          <w:color w:val="auto"/>
        </w:rPr>
        <w:t xml:space="preserve"> pipeline which is owned and operated by Denbury. On a per unit basis, CO</w:t>
      </w:r>
      <w:r>
        <w:rPr>
          <w:rFonts w:ascii="Arial" w:cs="Arial" w:eastAsia="Arial" w:hAnsi="Arial"/>
          <w:sz w:val="26"/>
          <w:szCs w:val="26"/>
          <w:color w:val="auto"/>
          <w:vertAlign w:val="subscript"/>
        </w:rPr>
        <w:t>2</w:t>
      </w:r>
      <w:r>
        <w:rPr>
          <w:rFonts w:ascii="Arial" w:cs="Arial" w:eastAsia="Arial" w:hAnsi="Arial"/>
          <w:sz w:val="18"/>
          <w:szCs w:val="18"/>
          <w:color w:val="auto"/>
        </w:rPr>
        <w:t xml:space="preserve"> costs were $2.84 per BOE and $3.55 per BOE for the years ended June 30, 2023 and 2022, respectively.</w:t>
      </w:r>
    </w:p>
    <w:p>
      <w:pPr>
        <w:spacing w:after="0" w:line="206" w:lineRule="exact"/>
        <w:rPr>
          <w:sz w:val="20"/>
          <w:szCs w:val="20"/>
          <w:color w:val="auto"/>
        </w:rPr>
      </w:pPr>
    </w:p>
    <w:p>
      <w:pPr>
        <w:ind w:left="60" w:right="139"/>
        <w:spacing w:after="0" w:line="255" w:lineRule="auto"/>
        <w:rPr>
          <w:sz w:val="20"/>
          <w:szCs w:val="20"/>
          <w:color w:val="auto"/>
        </w:rPr>
      </w:pPr>
      <w:r>
        <w:rPr>
          <w:rFonts w:ascii="Arial" w:cs="Arial" w:eastAsia="Arial" w:hAnsi="Arial"/>
          <w:sz w:val="18"/>
          <w:szCs w:val="18"/>
          <w:color w:val="auto"/>
        </w:rPr>
        <w:t>Other lease operating costs include remedial workover costs and gathering and transportation costs for our oil and natural gas production. Compared to the prior year, other lease operating costs increased $10.0 million, or 29.5%, to $44.0 million in the year ended June 30, 2023 primarily due to the acquisitions in the Jonah Field and Williston Basin in April 2022 and January 2022, respectively, which increased current year other lease operating costs by $8.0 million. Other lease operating costs on a per BOE basis increased to $16.97 per BOE in the current year from $15.64 per BOE in the prior year, an increase of $1.33 per BOE.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Depletion of Full Cost Proved Oil and Natural Gas Properties</w:t>
      </w:r>
    </w:p>
    <w:p>
      <w:pPr>
        <w:spacing w:after="0" w:line="117" w:lineRule="exact"/>
        <w:rPr>
          <w:sz w:val="20"/>
          <w:szCs w:val="20"/>
          <w:color w:val="auto"/>
        </w:rPr>
      </w:pPr>
    </w:p>
    <w:p>
      <w:pPr>
        <w:ind w:left="60" w:right="159"/>
        <w:spacing w:after="0" w:line="293" w:lineRule="auto"/>
        <w:rPr>
          <w:sz w:val="20"/>
          <w:szCs w:val="20"/>
          <w:color w:val="auto"/>
        </w:rPr>
      </w:pPr>
      <w:r>
        <w:rPr>
          <w:rFonts w:ascii="Arial" w:cs="Arial" w:eastAsia="Arial" w:hAnsi="Arial"/>
          <w:sz w:val="16"/>
          <w:szCs w:val="16"/>
          <w:color w:val="auto"/>
        </w:rPr>
        <w:t>Depletion expense increased $5.6 million or 74.8% from $7.5 million for the fiscal year ended June 30, 2022 to $13.1 million for the fiscal year ended June 30, 2023 primarily due to an increase in production. On a per unit basis, depletion expense was $5.07 per BOE and $3.46 per BOE for the fiscal years ended June 30, 2023 and 2022, respectively. The increase in depletion per BOE was due primarily to an increase in the depletable base of our unit of production calculation due to our acquisitions in fiscal year 2022 and an increase in our future development costs associated with our proved undeveloped reserve addition in fiscal year 2022 combined with a decrease in our proved reserve volumes.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60" w:right="239"/>
        <w:spacing w:after="0" w:line="271" w:lineRule="auto"/>
        <w:rPr>
          <w:sz w:val="20"/>
          <w:szCs w:val="20"/>
          <w:color w:val="auto"/>
        </w:rPr>
      </w:pPr>
      <w:r>
        <w:rPr>
          <w:rFonts w:ascii="Arial" w:cs="Arial" w:eastAsia="Arial" w:hAnsi="Arial"/>
          <w:sz w:val="17"/>
          <w:szCs w:val="17"/>
          <w:color w:val="auto"/>
        </w:rPr>
        <w:t>General and administrative expenses for the fiscal year ended June 30, 2023 increased $1.2 million, or 18.4%, to $7.9 million compared to $6.7 million for the fiscal year ended June 30, 2022. The increase is primarily due to approximately $0.6 million for salary and employee benefits due to additional personnel added as additional assets were acquired, and $0.3 million in professional fees associated with our search for a CEO. The remaining increase is associated with fees for accounting and audit-related services and public reporting expenses due to the increased size of our Company. On a per unit basis, general and administrative expenses decreased $0.03 per BOE to $3.06 per BOE for the year ended June 30, 2023 from $3.09 per BOE for the prior year. The decrease in general and administrative expenses on a per unit basis are due to the increased production volumes described above.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Stock-based Compensation Expenses</w:t>
      </w:r>
    </w:p>
    <w:p>
      <w:pPr>
        <w:spacing w:after="0" w:line="117"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color w:val="auto"/>
        </w:rPr>
        <w:t>Stock-based compensation increased $1.5 million to $1.6 million for the year ended June 30, 2023 compared to $0.1 million the prior period due primarily to the $1.2 million reduction in prior year expense related to the forfeiture of unvested shares in connection with severance, combined with the addition of new personnel, including our CEO and COO, and the associated new awards granted during the current year period to all staff and directors. In addition, approximately $0.1 million of the current year period increase related to a one-time share award granted in November 2022, which vested and was fully expensed immediately.</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Gain (Loss) on Derivative Contracts</w:t>
      </w:r>
    </w:p>
    <w:p>
      <w:pPr>
        <w:spacing w:after="0" w:line="117" w:lineRule="exact"/>
        <w:rPr>
          <w:sz w:val="20"/>
          <w:szCs w:val="20"/>
          <w:color w:val="auto"/>
        </w:rPr>
      </w:pPr>
    </w:p>
    <w:p>
      <w:pPr>
        <w:ind w:left="60" w:right="99"/>
        <w:spacing w:after="0" w:line="286" w:lineRule="auto"/>
        <w:rPr>
          <w:sz w:val="20"/>
          <w:szCs w:val="20"/>
          <w:color w:val="auto"/>
        </w:rPr>
      </w:pPr>
      <w:r>
        <w:rPr>
          <w:rFonts w:ascii="Arial" w:cs="Arial" w:eastAsia="Arial" w:hAnsi="Arial"/>
          <w:sz w:val="16"/>
          <w:szCs w:val="16"/>
          <w:color w:val="auto"/>
        </w:rPr>
        <w:t>Periodically, we utilize commodity derivative financial instruments to reduce our exposure to fluctuations in oil and natural gas prices. We have elected not to designate our open derivative contracts for hedge accounting, and accordingly, we recorded the net change in the mark-to-market valuation of the derivative contracts in the consolidated statements of operations. The amounts recorded on the consolidated statements of operations related to derivative contracts represent the</w:t>
      </w:r>
    </w:p>
    <w:p>
      <w:pPr>
        <w:spacing w:after="0" w:line="1" w:lineRule="exact"/>
        <w:rPr>
          <w:sz w:val="20"/>
          <w:szCs w:val="20"/>
          <w:color w:val="auto"/>
        </w:rPr>
      </w:pPr>
    </w:p>
    <w:p>
      <w:pPr>
        <w:ind w:left="60" w:right="119" w:hanging="10"/>
        <w:spacing w:after="0" w:line="268" w:lineRule="auto"/>
        <w:tabs>
          <w:tab w:leader="none" w:pos="275" w:val="left"/>
        </w:tabs>
        <w:numPr>
          <w:ilvl w:val="0"/>
          <w:numId w:val="24"/>
        </w:numPr>
        <w:rPr>
          <w:rFonts w:ascii="Arial" w:cs="Arial" w:eastAsia="Arial" w:hAnsi="Arial"/>
          <w:sz w:val="17"/>
          <w:szCs w:val="17"/>
          <w:color w:val="auto"/>
        </w:rPr>
      </w:pPr>
      <w:r>
        <w:rPr>
          <w:rFonts w:ascii="Arial" w:cs="Arial" w:eastAsia="Arial" w:hAnsi="Arial"/>
          <w:sz w:val="17"/>
          <w:szCs w:val="17"/>
          <w:color w:val="auto"/>
        </w:rPr>
        <w:t>gains (losses) related to fair value adjustments on our open, or unrealized, derivative contracts, and (ii) gains (losses) on settlements of derivative contracts for positions that have settled or been realized. The table below summarizes our net realized and unrealized gains (losses) on derivative contracts as well as the impact of net realized (gains) losses on our average realized prices for the periods presented. As a result of our acquisitions during fiscal year 2022 and the corresponding borrowings on our Senior Secured Credit Facility, we were required by terms in our Senior Secured Credit Facility to hedge a portion of our production. The increase in commodity prices since entering into the hedges resulted in realized losses on derivative contracts for the current and prior years. As of June 30, 2023, we did not have any open crude oil or natural gas derivative contracts.</w:t>
      </w:r>
    </w:p>
    <w:p>
      <w:pPr>
        <w:spacing w:after="0" w:line="89" w:lineRule="exact"/>
        <w:rPr>
          <w:sz w:val="20"/>
          <w:szCs w:val="20"/>
          <w:color w:val="auto"/>
        </w:rPr>
      </w:pPr>
    </w:p>
    <w:p>
      <w:pPr>
        <w:ind w:left="4540"/>
        <w:spacing w:after="0"/>
        <w:rPr>
          <w:sz w:val="20"/>
          <w:szCs w:val="20"/>
          <w:color w:val="auto"/>
        </w:rPr>
      </w:pPr>
      <w:r>
        <w:rPr>
          <w:rFonts w:ascii="Arial" w:cs="Arial" w:eastAsia="Arial" w:hAnsi="Arial"/>
          <w:sz w:val="16"/>
          <w:szCs w:val="16"/>
          <w:b w:val="1"/>
          <w:bCs w:val="1"/>
          <w:color w:val="auto"/>
        </w:rPr>
        <w:t>Years Ended June 30,</w:t>
      </w:r>
    </w:p>
    <w:p>
      <w:pPr>
        <w:spacing w:after="0" w:line="6"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41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 unit and per BOE amounts)</w:t>
            </w: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87"/>
              <w:spacing w:after="0"/>
              <w:rPr>
                <w:sz w:val="20"/>
                <w:szCs w:val="20"/>
                <w:color w:val="auto"/>
              </w:rPr>
            </w:pPr>
            <w:r>
              <w:rPr>
                <w:rFonts w:ascii="Arial" w:cs="Arial" w:eastAsia="Arial" w:hAnsi="Arial"/>
                <w:sz w:val="16"/>
                <w:szCs w:val="16"/>
                <w:b w:val="1"/>
                <w:bCs w:val="1"/>
                <w:color w:val="auto"/>
              </w:rPr>
              <w:t>2023</w:t>
            </w:r>
          </w:p>
        </w:tc>
        <w:tc>
          <w:tcPr>
            <w:tcW w:w="2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7"/>
              <w:spacing w:after="0"/>
              <w:rPr>
                <w:sz w:val="20"/>
                <w:szCs w:val="20"/>
                <w:color w:val="auto"/>
              </w:rPr>
            </w:pPr>
            <w:r>
              <w:rPr>
                <w:rFonts w:ascii="Arial" w:cs="Arial" w:eastAsia="Arial" w:hAnsi="Arial"/>
                <w:sz w:val="16"/>
                <w:szCs w:val="16"/>
                <w:b w:val="1"/>
                <w:bCs w:val="1"/>
                <w:color w:val="auto"/>
              </w:rPr>
              <w:t>2022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Variance</w:t>
            </w:r>
          </w:p>
        </w:tc>
        <w:tc>
          <w:tcPr>
            <w:tcW w:w="108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Variance %</w:t>
            </w:r>
          </w:p>
        </w:tc>
      </w:tr>
      <w:tr>
        <w:trPr>
          <w:trHeight w:val="142"/>
        </w:trPr>
        <w:tc>
          <w:tcPr>
            <w:tcW w:w="392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Realized gain (loss) on derivative contracts</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(1,481)</w:t>
            </w:r>
          </w:p>
        </w:tc>
        <w:tc>
          <w:tcPr>
            <w:tcW w:w="2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(1,769)</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288</w:t>
            </w:r>
          </w:p>
        </w:tc>
        <w:tc>
          <w:tcPr>
            <w:tcW w:w="2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(16.3)</w:t>
            </w: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w:t>
            </w:r>
          </w:p>
        </w:tc>
      </w:tr>
      <w:tr>
        <w:trPr>
          <w:trHeight w:val="148"/>
        </w:trPr>
        <w:tc>
          <w:tcPr>
            <w:tcW w:w="41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Unrealized gain (loss) on derivative contracts</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1,994</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(1,994)</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3,988</w:t>
            </w:r>
          </w:p>
        </w:tc>
        <w:tc>
          <w:tcPr>
            <w:tcW w:w="2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(200.0)</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w w:val="96"/>
              </w:rPr>
              <w:t>%</w:t>
            </w:r>
          </w:p>
        </w:tc>
      </w:tr>
      <w:tr>
        <w:trPr>
          <w:trHeight w:val="142"/>
        </w:trPr>
        <w:tc>
          <w:tcPr>
            <w:tcW w:w="4140" w:type="dxa"/>
            <w:vAlign w:val="bottom"/>
            <w:tcBorders>
              <w:top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Total net gain (loss) on derivative contracts</w:t>
            </w: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513</w:t>
            </w:r>
          </w:p>
        </w:tc>
        <w:tc>
          <w:tcPr>
            <w:tcW w:w="2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(3,763)</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4,276</w:t>
            </w:r>
          </w:p>
        </w:tc>
        <w:tc>
          <w:tcPr>
            <w:tcW w:w="2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(113.6)</w:t>
            </w:r>
          </w:p>
        </w:tc>
        <w:tc>
          <w:tcPr>
            <w:tcW w:w="20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w:t>
            </w:r>
          </w:p>
        </w:tc>
      </w:tr>
      <w:tr>
        <w:trPr>
          <w:trHeight w:val="148"/>
        </w:trPr>
        <w:tc>
          <w:tcPr>
            <w:tcW w:w="3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9"/>
        </w:trPr>
        <w:tc>
          <w:tcPr>
            <w:tcW w:w="41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Average realized crude oil price per BBL</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77.46</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85.11</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(7.65)</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w:t>
            </w:r>
          </w:p>
        </w:tc>
      </w:tr>
      <w:tr>
        <w:trPr>
          <w:trHeight w:val="149"/>
        </w:trPr>
        <w:tc>
          <w:tcPr>
            <w:tcW w:w="41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Cash effect of oil derivative contracts per BBL</w:t>
            </w:r>
          </w:p>
        </w:tc>
        <w:tc>
          <w:tcPr>
            <w:tcW w:w="2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(0.37)</w:t>
            </w:r>
          </w:p>
        </w:tc>
        <w:tc>
          <w:tcPr>
            <w:tcW w:w="22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(1.24)</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0.87</w:t>
            </w:r>
          </w:p>
        </w:tc>
        <w:tc>
          <w:tcPr>
            <w:tcW w:w="2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(70.2)</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w w:val="96"/>
              </w:rPr>
              <w:t>%</w:t>
            </w:r>
          </w:p>
        </w:tc>
      </w:tr>
      <w:tr>
        <w:trPr>
          <w:trHeight w:val="142"/>
        </w:trPr>
        <w:tc>
          <w:tcPr>
            <w:tcW w:w="4140" w:type="dxa"/>
            <w:vAlign w:val="bottom"/>
            <w:tcBorders>
              <w:top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Crude oil price per Bbl (including impact of realized derivatives)</w:t>
            </w: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77.09</w:t>
            </w:r>
          </w:p>
        </w:tc>
        <w:tc>
          <w:tcPr>
            <w:tcW w:w="2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83.87</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(6.78)</w:t>
            </w:r>
          </w:p>
        </w:tc>
        <w:tc>
          <w:tcPr>
            <w:tcW w:w="2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(8.1)</w:t>
            </w:r>
          </w:p>
        </w:tc>
        <w:tc>
          <w:tcPr>
            <w:tcW w:w="20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w:t>
            </w:r>
          </w:p>
        </w:tc>
      </w:tr>
      <w:tr>
        <w:trPr>
          <w:trHeight w:val="148"/>
        </w:trPr>
        <w:tc>
          <w:tcPr>
            <w:tcW w:w="3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9"/>
        </w:trPr>
        <w:tc>
          <w:tcPr>
            <w:tcW w:w="41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Average realized natural gas price per MCF</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w:t>
            </w: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27.5</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w:t>
            </w:r>
          </w:p>
        </w:tc>
      </w:tr>
      <w:tr>
        <w:trPr>
          <w:trHeight w:val="149"/>
        </w:trPr>
        <w:tc>
          <w:tcPr>
            <w:tcW w:w="41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Cash effect of natural gas derivative contracts per MCF</w:t>
            </w:r>
          </w:p>
        </w:tc>
        <w:tc>
          <w:tcPr>
            <w:tcW w:w="2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(0.14)</w:t>
            </w:r>
          </w:p>
        </w:tc>
        <w:tc>
          <w:tcPr>
            <w:tcW w:w="22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(0.14)</w:t>
            </w:r>
          </w:p>
        </w:tc>
        <w:tc>
          <w:tcPr>
            <w:tcW w:w="160" w:type="dxa"/>
            <w:vAlign w:val="bottom"/>
          </w:tcPr>
          <w:p>
            <w:pPr>
              <w:spacing w:after="0"/>
              <w:rPr>
                <w:sz w:val="12"/>
                <w:szCs w:val="12"/>
                <w:color w:val="auto"/>
              </w:rPr>
            </w:pP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w w:val="96"/>
              </w:rPr>
              <w:t>%</w:t>
            </w:r>
          </w:p>
        </w:tc>
      </w:tr>
      <w:tr>
        <w:trPr>
          <w:trHeight w:val="142"/>
        </w:trPr>
        <w:tc>
          <w:tcPr>
            <w:tcW w:w="4140" w:type="dxa"/>
            <w:vAlign w:val="bottom"/>
            <w:tcBorders>
              <w:top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Natural gas price per Mcf (including impact of realized derivatives)</w:t>
            </w: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6.86</w:t>
            </w:r>
          </w:p>
        </w:tc>
        <w:tc>
          <w:tcPr>
            <w:tcW w:w="2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5.35</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1.51</w:t>
            </w:r>
          </w:p>
        </w:tc>
        <w:tc>
          <w:tcPr>
            <w:tcW w:w="2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CCEEFF"/>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28.2</w:t>
            </w:r>
          </w:p>
        </w:tc>
        <w:tc>
          <w:tcPr>
            <w:tcW w:w="20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left="60" w:right="179"/>
        <w:spacing w:after="0" w:line="308" w:lineRule="auto"/>
        <w:rPr>
          <w:sz w:val="20"/>
          <w:szCs w:val="20"/>
          <w:color w:val="auto"/>
        </w:rPr>
      </w:pPr>
      <w:r>
        <w:rPr>
          <w:rFonts w:ascii="Arial" w:cs="Arial" w:eastAsia="Arial" w:hAnsi="Arial"/>
          <w:sz w:val="17"/>
          <w:szCs w:val="17"/>
          <w:color w:val="auto"/>
        </w:rPr>
        <w:t>Interest expense decreased $0.1 million during the fiscal year ended June 30, 2023 compared to fiscal year 2022 primarily due to the repayment of borrowings outstanding on our Senior Secured Credit Facility throughout the year.</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 (expense) provision</w:t>
      </w:r>
    </w:p>
    <w:p>
      <w:pPr>
        <w:spacing w:after="0" w:line="225" w:lineRule="exact"/>
        <w:rPr>
          <w:sz w:val="20"/>
          <w:szCs w:val="20"/>
          <w:color w:val="auto"/>
        </w:rPr>
      </w:pPr>
    </w:p>
    <w:p>
      <w:pPr>
        <w:ind w:left="60" w:right="219"/>
        <w:spacing w:after="0" w:line="257" w:lineRule="auto"/>
        <w:rPr>
          <w:sz w:val="20"/>
          <w:szCs w:val="20"/>
          <w:color w:val="auto"/>
        </w:rPr>
      </w:pPr>
      <w:r>
        <w:rPr>
          <w:rFonts w:ascii="Arial" w:cs="Arial" w:eastAsia="Arial" w:hAnsi="Arial"/>
          <w:sz w:val="18"/>
          <w:szCs w:val="18"/>
          <w:color w:val="auto"/>
        </w:rPr>
        <w:t>For the year ended June 30, 2023, we recognized income tax expense of $10.1 million on net income before income taxes of $45.3 million compared to an income tax expense of $8.5 million on net income before income taxes of $41.1 million for the year ended June 30, 2022. The effective tax rates were 22.2% and 20.7% for the years ended June 30, 2023 and 2022, respectively. In the prior year, the Company benefited from certain EOR tax credits whereas in the current year the credits were not available.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left="60" w:right="119"/>
        <w:spacing w:after="0" w:line="271" w:lineRule="auto"/>
        <w:rPr>
          <w:sz w:val="20"/>
          <w:szCs w:val="20"/>
          <w:color w:val="auto"/>
        </w:rPr>
      </w:pPr>
      <w:r>
        <w:rPr>
          <w:rFonts w:ascii="Arial" w:cs="Arial" w:eastAsia="Arial" w:hAnsi="Arial"/>
          <w:sz w:val="17"/>
          <w:szCs w:val="17"/>
          <w:color w:val="auto"/>
        </w:rPr>
        <w:t xml:space="preserve">The preparation of financial statements in accordance with accounting principles generally accepted in the United States of America requires that we select certain accounting policies and make estimates and assumptions that affect the reported amounts of the assets, liabilities, and disclosures of contingent assets and liabilities as of the date of the balance sheet as well as the reported amounts of revenues and expenses during the reporting period. These policies, together with our estimates, have a significant effect on our consolidated financial statements. Our significant accounting policies are included in Note 1, </w:t>
      </w:r>
      <w:r>
        <w:rPr>
          <w:rFonts w:ascii="Arial" w:cs="Arial" w:eastAsia="Arial" w:hAnsi="Arial"/>
          <w:sz w:val="17"/>
          <w:szCs w:val="17"/>
          <w:i w:val="1"/>
          <w:iCs w:val="1"/>
          <w:color w:val="auto"/>
        </w:rPr>
        <w:t>“Summary of Significant Events and Accounting Policies”</w:t>
      </w:r>
      <w:r>
        <w:rPr>
          <w:rFonts w:ascii="Arial" w:cs="Arial" w:eastAsia="Arial" w:hAnsi="Arial"/>
          <w:sz w:val="17"/>
          <w:szCs w:val="17"/>
          <w:color w:val="auto"/>
        </w:rPr>
        <w:t xml:space="preserve"> to our consolidated statements in Item 8. Following is a discussion of our most critical accounting estimates, judgments, and uncertainties that are inherent in the preparation of our consolidated financial statements.</w:t>
      </w:r>
    </w:p>
    <w:p>
      <w:pPr>
        <w:spacing w:after="0" w:line="178" w:lineRule="exact"/>
        <w:rPr>
          <w:sz w:val="20"/>
          <w:szCs w:val="20"/>
          <w:color w:val="auto"/>
        </w:rPr>
      </w:pPr>
    </w:p>
    <w:p>
      <w:pPr>
        <w:ind w:left="60" w:right="59"/>
        <w:spacing w:after="0" w:line="268" w:lineRule="auto"/>
        <w:rPr>
          <w:sz w:val="20"/>
          <w:szCs w:val="20"/>
          <w:color w:val="auto"/>
        </w:rPr>
      </w:pPr>
      <w:r>
        <w:rPr>
          <w:rFonts w:ascii="Arial" w:cs="Arial" w:eastAsia="Arial" w:hAnsi="Arial"/>
          <w:sz w:val="17"/>
          <w:szCs w:val="17"/>
          <w:i w:val="1"/>
          <w:iCs w:val="1"/>
          <w:color w:val="auto"/>
        </w:rPr>
        <w:t>Oil and Natural Gas Properties</w:t>
      </w:r>
      <w:r>
        <w:rPr>
          <w:rFonts w:ascii="Arial" w:cs="Arial" w:eastAsia="Arial" w:hAnsi="Arial"/>
          <w:sz w:val="17"/>
          <w:szCs w:val="17"/>
          <w:color w:val="auto"/>
        </w:rPr>
        <w:t>. Companies engaged in the production of oil and natural gas are required to follow</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rules that are unique to the oil and natural gas industry. We apply the full cost accounting method for our oil and natural gas properties as prescribed by SEC Regulation S-X Rule 4-10. Under this method of accounting, the costs of unsuccessful and successful, exploration and development activities are capitalized as properties and equipment. This includes any internal costs that are directly related to property acquisition, exploration, and development activities but does not include any costs related to production, general corporate overhead, or similar activities. Gain or loss on the sale or other disposition of oil and natural gas properties is not recognized unless the gain or loss would significantly alter the relationship between capitalized costs and proved reserves. Oil and natural gas properties include costs that are excluded from costs being depleted or amortized. Oil and natural gas property costs excluded represent investments in unevaluated properties. We exclude these costs until the property has been evaluated. Costs are transferred to the full cost pool as the properties are evaluated. As of June 30, 2023, we had no unevaluated property costs. Oil and natural gas properties include costs that are excluded from depletion and amortization, which represent investments in unproved and unevaluated properties and include non-producing leasehold, geologic and geophysical costs associated with leasehold or drilling interests, and exploration drilling costs.</w:t>
      </w:r>
    </w:p>
    <w:p>
      <w:pPr>
        <w:spacing w:after="0" w:line="184" w:lineRule="exact"/>
        <w:rPr>
          <w:sz w:val="20"/>
          <w:szCs w:val="20"/>
          <w:color w:val="auto"/>
        </w:rPr>
      </w:pPr>
    </w:p>
    <w:p>
      <w:pPr>
        <w:ind w:left="60" w:right="79"/>
        <w:spacing w:after="0" w:line="286" w:lineRule="auto"/>
        <w:rPr>
          <w:sz w:val="20"/>
          <w:szCs w:val="20"/>
          <w:color w:val="auto"/>
        </w:rPr>
      </w:pPr>
      <w:r>
        <w:rPr>
          <w:rFonts w:ascii="Arial" w:cs="Arial" w:eastAsia="Arial" w:hAnsi="Arial"/>
          <w:sz w:val="16"/>
          <w:szCs w:val="16"/>
          <w:i w:val="1"/>
          <w:iCs w:val="1"/>
          <w:color w:val="auto"/>
        </w:rPr>
        <w:t xml:space="preserve">Estimates of Proved Reserves. </w:t>
      </w:r>
      <w:r>
        <w:rPr>
          <w:rFonts w:ascii="Arial" w:cs="Arial" w:eastAsia="Arial" w:hAnsi="Arial"/>
          <w:sz w:val="16"/>
          <w:szCs w:val="16"/>
          <w:color w:val="auto"/>
        </w:rPr>
        <w:t>The estimated quantities of proved oil and natural gas reserves have a significant impact</w:t>
      </w:r>
      <w:r>
        <w:rPr>
          <w:rFonts w:ascii="Arial" w:cs="Arial" w:eastAsia="Arial" w:hAnsi="Arial"/>
          <w:sz w:val="16"/>
          <w:szCs w:val="16"/>
          <w:i w:val="1"/>
          <w:iCs w:val="1"/>
          <w:color w:val="auto"/>
        </w:rPr>
        <w:t xml:space="preserve"> </w:t>
      </w:r>
      <w:r>
        <w:rPr>
          <w:rFonts w:ascii="Arial" w:cs="Arial" w:eastAsia="Arial" w:hAnsi="Arial"/>
          <w:sz w:val="16"/>
          <w:szCs w:val="16"/>
          <w:color w:val="auto"/>
        </w:rPr>
        <w:t>on the underlying financial statements. The estimated quantities of proved reserves are used to calculate depletion expense and the estimated future net cash flows associated with those proved reserves is the basis for determining impairment under the quarterly ceiling test calculation. The process of estimating oil and natural gas reserves is very complex and requires significant decisions in the evaluation of all available geologic, geophysical, engineering, and economic data. Estimated reserves are often subject to future revisions, which could be substantial, based on the availability of additional information; this includes reservoir performance, additional development activity, new geologic and geophysical data, additional drilling, technological advancements, price changes, and other economic factors. As a result, material revisions to existing reserve estimates may occur from time to time. Although every reasonable effort is made to ensure that the reported reserve estimates prepared by our third-party independent engineers represent the most accurate assessments possible, the subjective decisions and variances in available data for the properties make these estimates generally less precise than other estimates included in our financial statements. Material revisions to reserve estimates and/or significant changes in commodity prices could substantially affect our estimated future net cash flows of our proved reserves. These changes could affect our quarterly ceiling test calculation and could significantly affect our depletion rate. Additionally, a 10% decrease in commodity prices used to determine our proved reserves as of</w:t>
      </w:r>
    </w:p>
    <w:p>
      <w:pPr>
        <w:sectPr>
          <w:pgSz w:w="11900" w:h="16838" w:orient="portrait"/>
          <w:cols w:equalWidth="0" w:num="1">
            <w:col w:w="9019"/>
          </w:cols>
          <w:pgMar w:left="1440" w:top="517" w:right="1440"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86" w:lineRule="auto"/>
        <w:rPr>
          <w:sz w:val="20"/>
          <w:szCs w:val="20"/>
          <w:color w:val="auto"/>
        </w:rPr>
      </w:pPr>
      <w:r>
        <w:rPr>
          <w:rFonts w:ascii="Arial" w:cs="Arial" w:eastAsia="Arial" w:hAnsi="Arial"/>
          <w:sz w:val="17"/>
          <w:szCs w:val="17"/>
          <w:color w:val="auto"/>
        </w:rPr>
        <w:t>June 30, 2023, while all other factors remained constant, would not have resulted in an impairment of our oil and natural gas properties. Holding all other factors constant, a reduction in our proved reserve estimates at June 30, 2023 of 10% would affect depletion, depreciation, and amortization expense by approximately $0.4 million.</w:t>
      </w:r>
    </w:p>
    <w:p>
      <w:pPr>
        <w:spacing w:after="0" w:line="165" w:lineRule="exact"/>
        <w:rPr>
          <w:sz w:val="20"/>
          <w:szCs w:val="20"/>
          <w:color w:val="auto"/>
        </w:rPr>
      </w:pPr>
    </w:p>
    <w:p>
      <w:pPr>
        <w:ind w:left="60" w:right="99"/>
        <w:spacing w:after="0" w:line="272" w:lineRule="auto"/>
        <w:rPr>
          <w:sz w:val="20"/>
          <w:szCs w:val="20"/>
          <w:color w:val="auto"/>
        </w:rPr>
      </w:pPr>
      <w:r>
        <w:rPr>
          <w:rFonts w:ascii="Arial" w:cs="Arial" w:eastAsia="Arial" w:hAnsi="Arial"/>
          <w:sz w:val="17"/>
          <w:szCs w:val="17"/>
          <w:color w:val="auto"/>
        </w:rPr>
        <w:t>On December 31, 2008, the SEC issued its final rule on the modernization of reporting oil and natural gas reserves. The rule allows consideration of new technologies in evaluating reserves, generally limits the designation of proved reserves to those projects forecasted to be drilled five years from the initial recognition date of such reserves, allows companies to disclose their probable and possible reserves to investors, requires reporting of oil and natural gas reserves using an average price based on the previous 12-month unweighted arithmetic average first-day-of-the-month price rather than year-end prices, revises the disclosure requirements for oil and natural gas operations, and revises accounting for the limitation on capitalized costs for full cost companies.</w:t>
      </w:r>
    </w:p>
    <w:p>
      <w:pPr>
        <w:spacing w:after="0" w:line="177"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i w:val="1"/>
          <w:iCs w:val="1"/>
          <w:color w:val="auto"/>
        </w:rPr>
        <w:t>Stock-based Compensation</w:t>
      </w:r>
      <w:r>
        <w:rPr>
          <w:rFonts w:ascii="Arial" w:cs="Arial" w:eastAsia="Arial" w:hAnsi="Arial"/>
          <w:sz w:val="18"/>
          <w:szCs w:val="18"/>
          <w:color w:val="auto"/>
        </w:rPr>
        <w:t>. The fair value, and for certain awards the expected vesting period, of our performance-based</w:t>
      </w:r>
      <w:r>
        <w:rPr>
          <w:rFonts w:ascii="Arial" w:cs="Arial" w:eastAsia="Arial" w:hAnsi="Arial"/>
          <w:sz w:val="18"/>
          <w:szCs w:val="18"/>
          <w:i w:val="1"/>
          <w:iCs w:val="1"/>
          <w:color w:val="auto"/>
        </w:rPr>
        <w:t xml:space="preserve"> </w:t>
      </w:r>
      <w:r>
        <w:rPr>
          <w:rFonts w:ascii="Arial" w:cs="Arial" w:eastAsia="Arial" w:hAnsi="Arial"/>
          <w:sz w:val="18"/>
          <w:szCs w:val="18"/>
          <w:color w:val="auto"/>
        </w:rPr>
        <w:t>awards were determined using a Monte Carlo simulation. This technique uses a geometric Brownian motion model with defined variables and randomly generates values for each variable through multiple trials. Variables include stock price volatility, expected term of the award, the expected risk-free interest rate, and the expected dividend yield of our stock. The risk-free interest rate used is the U.S. Treasury yield for bonds matching the expected term of the award on the date of grant. Vesting of performance-based awards is based on our total common stock return compared to a peer group of other companies in our industry with comparable market capitalizations and, for certain awards, our share price attaining a set target.</w:t>
      </w:r>
    </w:p>
    <w:p>
      <w:pPr>
        <w:spacing w:after="0" w:line="192" w:lineRule="exact"/>
        <w:rPr>
          <w:sz w:val="20"/>
          <w:szCs w:val="20"/>
          <w:color w:val="auto"/>
        </w:rPr>
      </w:pPr>
    </w:p>
    <w:p>
      <w:pPr>
        <w:ind w:left="60" w:right="299"/>
        <w:spacing w:after="0" w:line="286" w:lineRule="auto"/>
        <w:rPr>
          <w:sz w:val="20"/>
          <w:szCs w:val="20"/>
          <w:color w:val="auto"/>
        </w:rPr>
      </w:pPr>
      <w:r>
        <w:rPr>
          <w:rFonts w:ascii="Arial" w:cs="Arial" w:eastAsia="Arial" w:hAnsi="Arial"/>
          <w:sz w:val="17"/>
          <w:szCs w:val="17"/>
          <w:i w:val="1"/>
          <w:iCs w:val="1"/>
          <w:color w:val="auto"/>
        </w:rPr>
        <w:t>Recent Accounting Pronouncements</w:t>
      </w:r>
      <w:r>
        <w:rPr>
          <w:rFonts w:ascii="Arial" w:cs="Arial" w:eastAsia="Arial" w:hAnsi="Arial"/>
          <w:sz w:val="17"/>
          <w:szCs w:val="17"/>
          <w:color w:val="auto"/>
        </w:rPr>
        <w:t>. Refer to Note 1,</w:t>
      </w:r>
      <w:r>
        <w:rPr>
          <w:rFonts w:ascii="Arial" w:cs="Arial" w:eastAsia="Arial" w:hAnsi="Arial"/>
          <w:sz w:val="17"/>
          <w:szCs w:val="17"/>
          <w:i w:val="1"/>
          <w:iCs w:val="1"/>
          <w:color w:val="auto"/>
        </w:rPr>
        <w:t xml:space="preserve"> “Summary of Significant Events and Accounting Policies” </w:t>
      </w:r>
      <w:r>
        <w:rPr>
          <w:rFonts w:ascii="Arial" w:cs="Arial" w:eastAsia="Arial" w:hAnsi="Arial"/>
          <w:sz w:val="17"/>
          <w:szCs w:val="17"/>
          <w:color w:val="auto"/>
        </w:rPr>
        <w:t>to our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consolidated financial statements in Item 8.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xml:space="preserve"> for discussion of the recent accounting pronouncements issued by the Financial Accounting Standards Board.</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7A.  Quantitative and Qualitative Disclosures About Market Risks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Derivative Instruments and Hedging Activity</w:t>
      </w:r>
    </w:p>
    <w:p>
      <w:pPr>
        <w:spacing w:after="0" w:line="225" w:lineRule="exact"/>
        <w:rPr>
          <w:sz w:val="20"/>
          <w:szCs w:val="20"/>
          <w:color w:val="auto"/>
        </w:rPr>
      </w:pPr>
    </w:p>
    <w:p>
      <w:pPr>
        <w:ind w:left="60" w:right="139"/>
        <w:spacing w:after="0" w:line="273" w:lineRule="auto"/>
        <w:rPr>
          <w:sz w:val="20"/>
          <w:szCs w:val="20"/>
          <w:color w:val="auto"/>
        </w:rPr>
      </w:pPr>
      <w:r>
        <w:rPr>
          <w:rFonts w:ascii="Arial" w:cs="Arial" w:eastAsia="Arial" w:hAnsi="Arial"/>
          <w:sz w:val="17"/>
          <w:szCs w:val="17"/>
          <w:color w:val="auto"/>
        </w:rPr>
        <w:t>We are exposed to various risks, including energy commodity price risk, such as price differentials between the NYMEX commodity price and the index price at the location where our production is sold. When oil, natural gas, and natural gas liquids prices decline significantly, our ability to finance our capital budget and operations may be adversely impacted. We expect energy prices to remain volatile and unpredictable, therefore we monitor commodity prices to identify the potential need for the use of derivative financial instruments to provide partial protection against declines in oil and natural gas prices. We do not enter into derivative contracts for speculative trading purposes.</w:t>
      </w:r>
    </w:p>
    <w:p>
      <w:pPr>
        <w:spacing w:after="0" w:line="178" w:lineRule="exact"/>
        <w:rPr>
          <w:sz w:val="20"/>
          <w:szCs w:val="20"/>
          <w:color w:val="auto"/>
        </w:rPr>
      </w:pPr>
    </w:p>
    <w:p>
      <w:pPr>
        <w:ind w:left="60" w:right="119"/>
        <w:spacing w:after="0" w:line="254" w:lineRule="auto"/>
        <w:rPr>
          <w:sz w:val="20"/>
          <w:szCs w:val="20"/>
          <w:color w:val="auto"/>
        </w:rPr>
      </w:pPr>
      <w:r>
        <w:rPr>
          <w:rFonts w:ascii="Arial" w:cs="Arial" w:eastAsia="Arial" w:hAnsi="Arial"/>
          <w:sz w:val="18"/>
          <w:szCs w:val="18"/>
          <w:color w:val="auto"/>
        </w:rPr>
        <w:t xml:space="preserve">We are exposed to market risk on our open derivative contracts related to potential non-performance by our counterparties. It is our policy to enter into derivative contracts only with counterparties that are creditworthy institutions deemed by management as competitive market makers. For the derivative contracts settled during fiscal 2023 and 2022, we did not post collateral. We account for our derivative activities under the provisions of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(“ASC 815”). ASC 815 establishes accounting and reporting that every derivative instrument be recorded on the balance sheet as either an asset or liability measured at fair value. See Note 7, </w:t>
      </w:r>
      <w:r>
        <w:rPr>
          <w:rFonts w:ascii="Arial" w:cs="Arial" w:eastAsia="Arial" w:hAnsi="Arial"/>
          <w:sz w:val="18"/>
          <w:szCs w:val="18"/>
          <w:i w:val="1"/>
          <w:iCs w:val="1"/>
          <w:color w:val="auto"/>
        </w:rPr>
        <w:t>“Derivatives”</w:t>
      </w:r>
      <w:r>
        <w:rPr>
          <w:rFonts w:ascii="Arial" w:cs="Arial" w:eastAsia="Arial" w:hAnsi="Arial"/>
          <w:sz w:val="18"/>
          <w:szCs w:val="18"/>
          <w:color w:val="auto"/>
        </w:rPr>
        <w:t xml:space="preserve"> to our consolidated financial statements for more details.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left="60" w:right="279"/>
        <w:spacing w:after="0" w:line="287" w:lineRule="auto"/>
        <w:rPr>
          <w:sz w:val="20"/>
          <w:szCs w:val="20"/>
          <w:color w:val="auto"/>
        </w:rPr>
      </w:pPr>
      <w:r>
        <w:rPr>
          <w:rFonts w:ascii="Arial" w:cs="Arial" w:eastAsia="Arial" w:hAnsi="Arial"/>
          <w:sz w:val="16"/>
          <w:szCs w:val="16"/>
          <w:color w:val="auto"/>
        </w:rPr>
        <w:t>We are exposed to changes in interest rates. Changes in interest rates affect the interest earned on our cash and cash equivalents. Additionally, any borrowings under the Senior Secured Credit Facility will bear interest, at our option, at either SOFR plus 2.80%, which includes a 0.05% credit spread adjustment from LIBOR, subject to a minimum SOFR of</w:t>
      </w:r>
    </w:p>
    <w:p>
      <w:pPr>
        <w:spacing w:after="0" w:line="2" w:lineRule="exact"/>
        <w:rPr>
          <w:sz w:val="20"/>
          <w:szCs w:val="20"/>
          <w:color w:val="auto"/>
        </w:rPr>
      </w:pPr>
    </w:p>
    <w:p>
      <w:pPr>
        <w:ind w:left="60" w:right="79"/>
        <w:spacing w:after="0" w:line="277" w:lineRule="auto"/>
        <w:rPr>
          <w:sz w:val="20"/>
          <w:szCs w:val="20"/>
          <w:color w:val="auto"/>
        </w:rPr>
      </w:pPr>
      <w:r>
        <w:rPr>
          <w:rFonts w:ascii="Arial" w:cs="Arial" w:eastAsia="Arial" w:hAnsi="Arial"/>
          <w:sz w:val="17"/>
          <w:szCs w:val="17"/>
          <w:color w:val="auto"/>
        </w:rPr>
        <w:t>0.50%, or the Prime Rate, as defined under the Senior Secured Credit Facility, plus 1.00%. LIBOR rates are sensitive to the period of contract and market volatility, as well as changes in forward interest rate yields. Under our current practices, we do not use interest rate derivative instruments to manage exposure to interest rate changes.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400" w:type="dxa"/>
            <w:vAlign w:val="bottom"/>
            <w:gridSpan w:val="13"/>
          </w:tcPr>
          <w:p>
            <w:pPr>
              <w:spacing w:after="0"/>
              <w:rPr>
                <w:sz w:val="20"/>
                <w:szCs w:val="20"/>
                <w:color w:val="auto"/>
              </w:rPr>
            </w:pPr>
            <w:r>
              <w:rPr>
                <w:rFonts w:ascii="Arial" w:cs="Arial" w:eastAsia="Arial" w:hAnsi="Arial"/>
                <w:sz w:val="18"/>
                <w:szCs w:val="18"/>
                <w:b w:val="1"/>
                <w:bCs w:val="1"/>
                <w:color w:val="auto"/>
              </w:rPr>
              <w:t>Item 8.  Consolidated Financial Statements and Supplementary Data</w:t>
            </w:r>
          </w:p>
        </w:tc>
        <w:tc>
          <w:tcPr>
            <w:tcW w:w="300" w:type="dxa"/>
            <w:vAlign w:val="bottom"/>
          </w:tcPr>
          <w:p>
            <w:pPr>
              <w:spacing w:after="0"/>
              <w:rPr>
                <w:sz w:val="20"/>
                <w:szCs w:val="20"/>
                <w:color w:val="auto"/>
              </w:rPr>
            </w:pPr>
          </w:p>
        </w:tc>
      </w:tr>
      <w:tr>
        <w:trPr>
          <w:trHeight w:val="432"/>
        </w:trPr>
        <w:tc>
          <w:tcPr>
            <w:tcW w:w="8400" w:type="dxa"/>
            <w:vAlign w:val="bottom"/>
            <w:gridSpan w:val="13"/>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300" w:type="dxa"/>
            <w:vAlign w:val="bottom"/>
          </w:tcPr>
          <w:p>
            <w:pPr>
              <w:spacing w:after="0"/>
              <w:rPr>
                <w:sz w:val="24"/>
                <w:szCs w:val="24"/>
                <w:color w:val="auto"/>
              </w:rPr>
            </w:pPr>
          </w:p>
        </w:tc>
      </w:tr>
      <w:tr>
        <w:trPr>
          <w:trHeight w:val="405"/>
        </w:trPr>
        <w:tc>
          <w:tcPr>
            <w:tcW w:w="640" w:type="dxa"/>
            <w:vAlign w:val="bottom"/>
          </w:tcPr>
          <w:p>
            <w:pPr>
              <w:spacing w:after="0"/>
              <w:rPr>
                <w:sz w:val="24"/>
                <w:szCs w:val="24"/>
                <w:color w:val="auto"/>
              </w:rPr>
            </w:pPr>
          </w:p>
        </w:tc>
        <w:tc>
          <w:tcPr>
            <w:tcW w:w="7760" w:type="dxa"/>
            <w:vAlign w:val="bottom"/>
            <w:gridSpan w:val="12"/>
          </w:tcPr>
          <w:p>
            <w:pPr>
              <w:spacing w:after="0"/>
              <w:rPr>
                <w:sz w:val="20"/>
                <w:szCs w:val="20"/>
                <w:color w:val="auto"/>
              </w:rPr>
            </w:pPr>
            <w:r>
              <w:rPr>
                <w:rFonts w:ascii="Arial" w:cs="Arial" w:eastAsia="Arial" w:hAnsi="Arial"/>
                <w:sz w:val="18"/>
                <w:szCs w:val="18"/>
                <w:color w:val="0000EE"/>
              </w:rPr>
              <w:t xml:space="preserve">Report of Independent Registered Public Accounting Firm </w:t>
            </w:r>
            <w:r>
              <w:rPr>
                <w:rFonts w:ascii="Arial" w:cs="Arial" w:eastAsia="Arial" w:hAnsi="Arial"/>
                <w:sz w:val="18"/>
                <w:szCs w:val="18"/>
                <w:color w:val="000000"/>
              </w:rPr>
              <w:t>(PCAOB ID No. 659)</w:t>
            </w:r>
            <w:r>
              <w:rPr>
                <w:rFonts w:ascii="Arial" w:cs="Arial" w:eastAsia="Arial" w:hAnsi="Arial"/>
                <w:sz w:val="18"/>
                <w:szCs w:val="18"/>
                <w:color w:val="0000EE"/>
              </w:rPr>
              <w:t xml:space="preserve"> on Consolidated</w:t>
            </w:r>
          </w:p>
        </w:tc>
        <w:tc>
          <w:tcPr>
            <w:tcW w:w="30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422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0000EE"/>
              </w:rPr>
              <w:t>Financial Statements</w:t>
            </w:r>
          </w:p>
        </w:tc>
        <w:tc>
          <w:tcPr>
            <w:tcW w:w="1680" w:type="dxa"/>
            <w:vAlign w:val="bottom"/>
            <w:gridSpan w:val="3"/>
          </w:tcPr>
          <w:p>
            <w:pPr>
              <w:spacing w:after="0"/>
              <w:rPr>
                <w:sz w:val="17"/>
                <w:szCs w:val="17"/>
                <w:color w:val="auto"/>
              </w:rPr>
            </w:pPr>
          </w:p>
        </w:tc>
        <w:tc>
          <w:tcPr>
            <w:tcW w:w="1160" w:type="dxa"/>
            <w:vAlign w:val="bottom"/>
            <w:tcBorders>
              <w:top w:val="single" w:sz="8" w:color="0000EE"/>
            </w:tcBorders>
            <w:gridSpan w:val="3"/>
          </w:tcPr>
          <w:p>
            <w:pPr>
              <w:spacing w:after="0"/>
              <w:rPr>
                <w:sz w:val="17"/>
                <w:szCs w:val="17"/>
                <w:color w:val="auto"/>
              </w:rPr>
            </w:pPr>
          </w:p>
        </w:tc>
        <w:tc>
          <w:tcPr>
            <w:tcW w:w="70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20"/>
        </w:trPr>
        <w:tc>
          <w:tcPr>
            <w:tcW w:w="64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7760" w:type="dxa"/>
            <w:vAlign w:val="bottom"/>
            <w:gridSpan w:val="12"/>
          </w:tcPr>
          <w:p>
            <w:pPr>
              <w:spacing w:after="0" w:line="196" w:lineRule="exact"/>
              <w:rPr>
                <w:sz w:val="20"/>
                <w:szCs w:val="20"/>
                <w:color w:val="auto"/>
              </w:rPr>
            </w:pPr>
            <w:r>
              <w:rPr>
                <w:rFonts w:ascii="Arial" w:cs="Arial" w:eastAsia="Arial" w:hAnsi="Arial"/>
                <w:sz w:val="18"/>
                <w:szCs w:val="18"/>
                <w:color w:val="0000EE"/>
                <w:w w:val="94"/>
              </w:rPr>
              <w:t>Report of Independent Registered Public Accounting Firm on Internal Control Over Financial Reporting</w:t>
            </w: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640" w:type="dxa"/>
            <w:vAlign w:val="bottom"/>
          </w:tcPr>
          <w:p>
            <w:pPr>
              <w:spacing w:after="0"/>
              <w:rPr>
                <w:sz w:val="17"/>
                <w:szCs w:val="17"/>
                <w:color w:val="auto"/>
              </w:rPr>
            </w:pPr>
          </w:p>
        </w:tc>
        <w:tc>
          <w:tcPr>
            <w:tcW w:w="7520" w:type="dxa"/>
            <w:vAlign w:val="bottom"/>
            <w:tcBorders>
              <w:top w:val="single" w:sz="8" w:color="0000EE"/>
            </w:tcBorders>
            <w:gridSpan w:val="10"/>
          </w:tcPr>
          <w:p>
            <w:pPr>
              <w:spacing w:after="0" w:line="196" w:lineRule="exact"/>
              <w:rPr>
                <w:sz w:val="20"/>
                <w:szCs w:val="20"/>
                <w:color w:val="auto"/>
              </w:rPr>
            </w:pPr>
            <w:r>
              <w:rPr>
                <w:rFonts w:ascii="Arial" w:cs="Arial" w:eastAsia="Arial" w:hAnsi="Arial"/>
                <w:sz w:val="18"/>
                <w:szCs w:val="18"/>
                <w:color w:val="0000EE"/>
              </w:rPr>
              <w:t>Consolidated Balance Sheets as of June 30, 2023 and 2022</w:t>
            </w:r>
          </w:p>
        </w:tc>
        <w:tc>
          <w:tcPr>
            <w:tcW w:w="24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20"/>
        </w:trPr>
        <w:tc>
          <w:tcPr>
            <w:tcW w:w="640" w:type="dxa"/>
            <w:vAlign w:val="bottom"/>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7760" w:type="dxa"/>
            <w:vAlign w:val="bottom"/>
            <w:gridSpan w:val="12"/>
          </w:tcPr>
          <w:p>
            <w:pPr>
              <w:spacing w:after="0" w:line="196" w:lineRule="exact"/>
              <w:rPr>
                <w:sz w:val="20"/>
                <w:szCs w:val="20"/>
                <w:color w:val="auto"/>
              </w:rPr>
            </w:pPr>
            <w:r>
              <w:rPr>
                <w:rFonts w:ascii="Arial" w:cs="Arial" w:eastAsia="Arial" w:hAnsi="Arial"/>
                <w:sz w:val="18"/>
                <w:szCs w:val="18"/>
                <w:color w:val="0000EE"/>
              </w:rPr>
              <w:t>Consolidated Statements of Operations for the Years Ended June 30, 2023 and 2022</w:t>
            </w: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20"/>
        </w:trPr>
        <w:tc>
          <w:tcPr>
            <w:tcW w:w="640" w:type="dxa"/>
            <w:vAlign w:val="bottom"/>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7760" w:type="dxa"/>
            <w:vAlign w:val="bottom"/>
            <w:gridSpan w:val="12"/>
          </w:tcPr>
          <w:p>
            <w:pPr>
              <w:spacing w:after="0" w:line="196" w:lineRule="exact"/>
              <w:rPr>
                <w:sz w:val="20"/>
                <w:szCs w:val="20"/>
                <w:color w:val="auto"/>
              </w:rPr>
            </w:pPr>
            <w:r>
              <w:rPr>
                <w:rFonts w:ascii="Arial" w:cs="Arial" w:eastAsia="Arial" w:hAnsi="Arial"/>
                <w:sz w:val="18"/>
                <w:szCs w:val="18"/>
                <w:color w:val="0000EE"/>
              </w:rPr>
              <w:t>Consolidated Statements of Cash Flows for the Years Ended June 30, 2023 and 2022</w:t>
            </w: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20"/>
        </w:trPr>
        <w:tc>
          <w:tcPr>
            <w:tcW w:w="640" w:type="dxa"/>
            <w:vAlign w:val="bottom"/>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764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89"/>
              </w:rPr>
              <w:t>Consolidated Statements of Changes in Stockholders’ Equity for the Years Ended June 30, 2023 and 2022</w:t>
            </w:r>
          </w:p>
        </w:tc>
        <w:tc>
          <w:tcPr>
            <w:tcW w:w="12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640" w:type="dxa"/>
            <w:vAlign w:val="bottom"/>
          </w:tcPr>
          <w:p>
            <w:pPr>
              <w:spacing w:after="0"/>
              <w:rPr>
                <w:sz w:val="17"/>
                <w:szCs w:val="17"/>
                <w:color w:val="auto"/>
              </w:rPr>
            </w:pPr>
          </w:p>
        </w:tc>
        <w:tc>
          <w:tcPr>
            <w:tcW w:w="316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9"/>
              </w:rPr>
              <w:t>Notes to Consolidated Financial Statements</w:t>
            </w:r>
          </w:p>
        </w:tc>
        <w:tc>
          <w:tcPr>
            <w:tcW w:w="4600" w:type="dxa"/>
            <w:vAlign w:val="bottom"/>
            <w:gridSpan w:val="1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640" w:type="dxa"/>
            <w:vAlign w:val="bottom"/>
          </w:tcPr>
          <w:p>
            <w:pPr>
              <w:spacing w:after="0"/>
              <w:rPr>
                <w:sz w:val="17"/>
                <w:szCs w:val="17"/>
                <w:color w:val="auto"/>
              </w:rPr>
            </w:pPr>
          </w:p>
        </w:tc>
        <w:tc>
          <w:tcPr>
            <w:tcW w:w="540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0"/>
              </w:rPr>
              <w:t>Supplemental Disclosure about Oil and Natural Gas Properties (unaudited)</w:t>
            </w:r>
          </w:p>
        </w:tc>
        <w:tc>
          <w:tcPr>
            <w:tcW w:w="236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Shareholders and the Board of Directors of</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Evolution Petroleum Corporation</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ind w:left="60" w:right="179"/>
        <w:spacing w:after="0" w:line="254" w:lineRule="auto"/>
        <w:rPr>
          <w:sz w:val="20"/>
          <w:szCs w:val="20"/>
          <w:color w:val="auto"/>
        </w:rPr>
      </w:pPr>
      <w:r>
        <w:rPr>
          <w:rFonts w:ascii="Arial" w:cs="Arial" w:eastAsia="Arial" w:hAnsi="Arial"/>
          <w:sz w:val="18"/>
          <w:szCs w:val="18"/>
          <w:color w:val="auto"/>
        </w:rPr>
        <w:t>We have audited the accompanying consolidated balance sheets of Evolution Petroleum Corporation and subsidiaries (the “Company”) as of June 30, 2023 and 2022, the related consolidated statements of operations, cash flows, and changes in stockholders’ equity for the years then ended, and the related notes (collectively referred to as the “consolidated financial statements”). In our opinion, the consolidated financial statements present fairly, in all material respects, the consolidated financial position of the Company as of June 30, 2023 and 2022, and the consolidated results of its operations and its cash flows for the years then ended, in conformity with accounting principles generally accepted in the United States of America.</w:t>
      </w:r>
    </w:p>
    <w:p>
      <w:pPr>
        <w:spacing w:after="0" w:line="195" w:lineRule="exact"/>
        <w:rPr>
          <w:sz w:val="20"/>
          <w:szCs w:val="20"/>
          <w:color w:val="auto"/>
        </w:rPr>
      </w:pPr>
    </w:p>
    <w:p>
      <w:pPr>
        <w:ind w:left="60" w:right="259"/>
        <w:spacing w:after="0" w:line="257"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June 30, 2023,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2013</w:t>
      </w:r>
      <w:r>
        <w:rPr>
          <w:rFonts w:ascii="Arial" w:cs="Arial" w:eastAsia="Arial" w:hAnsi="Arial"/>
          <w:sz w:val="18"/>
          <w:szCs w:val="18"/>
          <w:color w:val="auto"/>
        </w:rPr>
        <w:t>) issued by the Committee of Sponsoring Organizations of the Treadway Commission and our report dated September 13, 2023 expressed an unqualified opinion on the Company’s internal control over financial reporting.</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ind w:left="60" w:right="319"/>
        <w:spacing w:after="0" w:line="257"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left="60" w:right="119"/>
        <w:spacing w:after="0" w:line="271"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Critical Audit Matter</w:t>
      </w:r>
    </w:p>
    <w:p>
      <w:pPr>
        <w:spacing w:after="0" w:line="225"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60" w:lineRule="exact"/>
        <w:rPr>
          <w:sz w:val="20"/>
          <w:szCs w:val="20"/>
          <w:color w:val="auto"/>
        </w:rPr>
      </w:pPr>
    </w:p>
    <w:p>
      <w:pPr>
        <w:ind w:left="60" w:right="179"/>
        <w:spacing w:after="0" w:line="282" w:lineRule="auto"/>
        <w:rPr>
          <w:sz w:val="20"/>
          <w:szCs w:val="20"/>
          <w:color w:val="auto"/>
        </w:rPr>
      </w:pPr>
      <w:r>
        <w:rPr>
          <w:rFonts w:ascii="Arial" w:cs="Arial" w:eastAsia="Arial" w:hAnsi="Arial"/>
          <w:sz w:val="18"/>
          <w:szCs w:val="18"/>
          <w:b w:val="1"/>
          <w:bCs w:val="1"/>
          <w:color w:val="auto"/>
        </w:rPr>
        <w:t>The Impact of Proved Oil and Natural Gas Reserves on Depletion, Depreciation, and Amortization (“DD&amp;A”) and Full Cost Ceiling Test Impairment Calculation (“Ceiling Test”)</w:t>
      </w:r>
    </w:p>
    <w:p>
      <w:pPr>
        <w:spacing w:after="0" w:line="166" w:lineRule="exact"/>
        <w:rPr>
          <w:sz w:val="20"/>
          <w:szCs w:val="20"/>
          <w:color w:val="auto"/>
        </w:rPr>
      </w:pPr>
    </w:p>
    <w:p>
      <w:pPr>
        <w:jc w:val="both"/>
        <w:ind w:left="60" w:right="339"/>
        <w:spacing w:after="0" w:line="311" w:lineRule="auto"/>
        <w:rPr>
          <w:sz w:val="20"/>
          <w:szCs w:val="20"/>
          <w:color w:val="auto"/>
        </w:rPr>
      </w:pPr>
      <w:r>
        <w:rPr>
          <w:rFonts w:ascii="Arial" w:cs="Arial" w:eastAsia="Arial" w:hAnsi="Arial"/>
          <w:sz w:val="16"/>
          <w:szCs w:val="16"/>
          <w:color w:val="auto"/>
        </w:rPr>
        <w:t>As described in Note 1, the Company follows the full cost method of accounting, pursuant to which oil and natural gas properties are amortized using the unit-of-production method over total proved reserves. The Company’s proved oil and natural gas properties are evaluated for impairment by the Ceiling Test utilizing the Company’s proved oil and natural</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9"/>
        <w:spacing w:after="0" w:line="286" w:lineRule="auto"/>
        <w:rPr>
          <w:sz w:val="20"/>
          <w:szCs w:val="20"/>
          <w:color w:val="auto"/>
        </w:rPr>
      </w:pPr>
      <w:r>
        <w:rPr>
          <w:rFonts w:ascii="Arial" w:cs="Arial" w:eastAsia="Arial" w:hAnsi="Arial"/>
          <w:sz w:val="17"/>
          <w:szCs w:val="17"/>
          <w:color w:val="auto"/>
        </w:rPr>
        <w:t>gas reserves in accordance with accounting principles generally accepted in the United States of America and SEC guidelines. For the year ended June 30, 2023, the Company recorded DD&amp;A related to its proved oil and natural gas properties of approximately $13.1 million, and there was no ceiling test impairment.</w:t>
      </w:r>
    </w:p>
    <w:p>
      <w:pPr>
        <w:spacing w:after="0" w:line="165" w:lineRule="exact"/>
        <w:rPr>
          <w:sz w:val="20"/>
          <w:szCs w:val="20"/>
          <w:color w:val="auto"/>
        </w:rPr>
      </w:pPr>
    </w:p>
    <w:p>
      <w:pPr>
        <w:ind w:left="60" w:right="119"/>
        <w:spacing w:after="0" w:line="269" w:lineRule="auto"/>
        <w:rPr>
          <w:sz w:val="20"/>
          <w:szCs w:val="20"/>
          <w:color w:val="auto"/>
        </w:rPr>
      </w:pPr>
      <w:r>
        <w:rPr>
          <w:rFonts w:ascii="Arial" w:cs="Arial" w:eastAsia="Arial" w:hAnsi="Arial"/>
          <w:sz w:val="17"/>
          <w:szCs w:val="17"/>
          <w:color w:val="auto"/>
        </w:rPr>
        <w:t>The Company engages two independent reservoir engineering firms to serve as a management specialist and to assist with the estimation of proved oil and natural gas reserves. To estimate the volume of proved oil and natural gas reserves and associated future net cash flows, management and their specialists make significant estimates and assumptions including forecasting the production decline rate of producing properties and forecasting the timing and volume of production associated with the Company’s development plan for proved undeveloped properties (“PUDs”). The estimation of proved oil and natural gas reserves is impacted by management’s judgments and estimates regarding the financial performance of wells associated with proved reserves to determine if wells are expected, with reasonable certainty, to be economical under the appropriate pricing assumptions required. Changes in significant assumptions or engineering data could have a significant impact on the amount of DD&amp;A and impairment recorded for the Company’s proved oil and natural gas properties.</w:t>
      </w:r>
    </w:p>
    <w:p>
      <w:pPr>
        <w:spacing w:after="0" w:line="185"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color w:val="auto"/>
        </w:rPr>
        <w:t>We identified the impact of proved oil and natural gas reserves on DD&amp;A and the Ceiling Test as a critical audit matter due to use of significant judgment by management, including the use of specialists, when developing the estimates of proved oil and natural gas reserves. This in turn led to a high degree of auditor judgment, subjectivity, and effort in performing procedures and evaluating audit evidence related to the significant assumptions used in developing those estimates of proved oil and natural gas reserves.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239" w:lineRule="exact"/>
        <w:rPr>
          <w:sz w:val="20"/>
          <w:szCs w:val="20"/>
          <w:color w:val="auto"/>
        </w:rPr>
      </w:pPr>
    </w:p>
    <w:p>
      <w:pPr>
        <w:ind w:left="720" w:hanging="319"/>
        <w:spacing w:after="0"/>
        <w:tabs>
          <w:tab w:leader="none" w:pos="7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Evaluating the knowledge, skill, and ability of the Company’s third-party reservoir engineering specialists and</w:t>
      </w:r>
    </w:p>
    <w:p>
      <w:pPr>
        <w:spacing w:after="0" w:line="61" w:lineRule="exact"/>
        <w:rPr>
          <w:rFonts w:ascii="Arial" w:cs="Arial" w:eastAsia="Arial" w:hAnsi="Arial"/>
          <w:sz w:val="17"/>
          <w:szCs w:val="17"/>
          <w:color w:val="auto"/>
        </w:rPr>
      </w:pPr>
    </w:p>
    <w:p>
      <w:pPr>
        <w:ind w:left="720" w:right="159"/>
        <w:spacing w:after="0" w:line="281" w:lineRule="auto"/>
        <w:rPr>
          <w:rFonts w:ascii="Arial" w:cs="Arial" w:eastAsia="Arial" w:hAnsi="Arial"/>
          <w:sz w:val="17"/>
          <w:szCs w:val="17"/>
          <w:color w:val="auto"/>
        </w:rPr>
      </w:pPr>
      <w:r>
        <w:rPr>
          <w:rFonts w:ascii="Arial" w:cs="Arial" w:eastAsia="Arial" w:hAnsi="Arial"/>
          <w:sz w:val="18"/>
          <w:szCs w:val="18"/>
          <w:color w:val="auto"/>
        </w:rPr>
        <w:t>their relationship to the Company, inquiries of those reservoir engineers regarding the process followed and judgments made to estimate the proved reserve volumes, and reading the reserve report prepared by the reservoir engineering specialists.</w:t>
      </w:r>
    </w:p>
    <w:p>
      <w:pPr>
        <w:spacing w:after="0" w:line="1" w:lineRule="exact"/>
        <w:rPr>
          <w:rFonts w:ascii="Arial" w:cs="Arial" w:eastAsia="Arial" w:hAnsi="Arial"/>
          <w:sz w:val="17"/>
          <w:szCs w:val="17"/>
          <w:color w:val="auto"/>
        </w:rPr>
      </w:pPr>
    </w:p>
    <w:p>
      <w:pPr>
        <w:ind w:left="720" w:hanging="319"/>
        <w:spacing w:after="0"/>
        <w:tabs>
          <w:tab w:leader="none" w:pos="7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Evaluating significant assumptions used by management and its specialists in developing the estimates of proved</w:t>
      </w:r>
    </w:p>
    <w:p>
      <w:pPr>
        <w:spacing w:after="0" w:line="72" w:lineRule="exact"/>
        <w:rPr>
          <w:rFonts w:ascii="Arial" w:cs="Arial" w:eastAsia="Arial" w:hAnsi="Arial"/>
          <w:sz w:val="16"/>
          <w:szCs w:val="16"/>
          <w:color w:val="auto"/>
        </w:rPr>
      </w:pPr>
    </w:p>
    <w:p>
      <w:pPr>
        <w:ind w:left="720" w:right="339"/>
        <w:spacing w:after="0" w:line="311" w:lineRule="auto"/>
        <w:rPr>
          <w:rFonts w:ascii="Arial" w:cs="Arial" w:eastAsia="Arial" w:hAnsi="Arial"/>
          <w:sz w:val="16"/>
          <w:szCs w:val="16"/>
          <w:color w:val="auto"/>
        </w:rPr>
      </w:pPr>
      <w:r>
        <w:rPr>
          <w:rFonts w:ascii="Arial" w:cs="Arial" w:eastAsia="Arial" w:hAnsi="Arial"/>
          <w:sz w:val="16"/>
          <w:szCs w:val="16"/>
          <w:color w:val="auto"/>
        </w:rPr>
        <w:t>oil and natural gas reserves, including pricing differentials, future operations costs, future production rates and capital expenditures. The procedures performed included tests of the data inputs used by specialists for completeness and accuracy and an evaluation of the specialist’s findings. The procedures performed included:</w:t>
      </w:r>
    </w:p>
    <w:p>
      <w:pPr>
        <w:spacing w:after="0" w:line="1" w:lineRule="exact"/>
        <w:rPr>
          <w:rFonts w:ascii="Arial" w:cs="Arial" w:eastAsia="Arial" w:hAnsi="Arial"/>
          <w:sz w:val="16"/>
          <w:szCs w:val="16"/>
          <w:color w:val="auto"/>
        </w:rPr>
      </w:pPr>
    </w:p>
    <w:p>
      <w:pPr>
        <w:ind w:left="1040"/>
        <w:spacing w:after="0"/>
        <w:rPr>
          <w:rFonts w:ascii="Arial" w:cs="Arial" w:eastAsia="Arial" w:hAnsi="Arial"/>
          <w:sz w:val="16"/>
          <w:szCs w:val="16"/>
          <w:color w:val="auto"/>
        </w:rPr>
      </w:pPr>
      <w:r>
        <w:rPr>
          <w:rFonts w:ascii="Courier New" w:cs="Courier New" w:eastAsia="Courier New" w:hAnsi="Courier New"/>
          <w:sz w:val="17"/>
          <w:szCs w:val="17"/>
          <w:color w:val="auto"/>
        </w:rPr>
        <w:t xml:space="preserve">o  </w:t>
      </w:r>
      <w:r>
        <w:rPr>
          <w:rFonts w:ascii="Arial" w:cs="Arial" w:eastAsia="Arial" w:hAnsi="Arial"/>
          <w:sz w:val="17"/>
          <w:szCs w:val="17"/>
          <w:color w:val="auto"/>
        </w:rPr>
        <w:t>Testing the operating effectiveness of controls over the Company’s estimation of oil and natural gas</w:t>
      </w:r>
    </w:p>
    <w:p>
      <w:pPr>
        <w:spacing w:after="0" w:line="58" w:lineRule="exact"/>
        <w:rPr>
          <w:rFonts w:ascii="Arial" w:cs="Arial" w:eastAsia="Arial" w:hAnsi="Arial"/>
          <w:sz w:val="16"/>
          <w:szCs w:val="16"/>
          <w:color w:val="auto"/>
        </w:rPr>
      </w:pPr>
    </w:p>
    <w:p>
      <w:pPr>
        <w:ind w:left="1380"/>
        <w:spacing w:after="0"/>
        <w:rPr>
          <w:rFonts w:ascii="Arial" w:cs="Arial" w:eastAsia="Arial" w:hAnsi="Arial"/>
          <w:sz w:val="16"/>
          <w:szCs w:val="16"/>
          <w:color w:val="auto"/>
        </w:rPr>
      </w:pPr>
      <w:r>
        <w:rPr>
          <w:rFonts w:ascii="Arial" w:cs="Arial" w:eastAsia="Arial" w:hAnsi="Arial"/>
          <w:sz w:val="18"/>
          <w:szCs w:val="18"/>
          <w:color w:val="auto"/>
        </w:rPr>
        <w:t>reserve quantities;</w:t>
      </w:r>
    </w:p>
    <w:p>
      <w:pPr>
        <w:spacing w:after="0" w:line="23" w:lineRule="exact"/>
        <w:rPr>
          <w:rFonts w:ascii="Arial" w:cs="Arial" w:eastAsia="Arial" w:hAnsi="Arial"/>
          <w:sz w:val="16"/>
          <w:szCs w:val="16"/>
          <w:color w:val="auto"/>
        </w:rPr>
      </w:pPr>
    </w:p>
    <w:p>
      <w:pPr>
        <w:ind w:left="1040" w:right="2399"/>
        <w:spacing w:after="0" w:line="294" w:lineRule="auto"/>
        <w:rPr>
          <w:rFonts w:ascii="Arial" w:cs="Arial" w:eastAsia="Arial" w:hAnsi="Arial"/>
          <w:sz w:val="16"/>
          <w:szCs w:val="16"/>
          <w:color w:val="auto"/>
        </w:rPr>
      </w:pPr>
      <w:r>
        <w:rPr>
          <w:rFonts w:ascii="Courier New" w:cs="Courier New" w:eastAsia="Courier New" w:hAnsi="Courier New"/>
          <w:sz w:val="16"/>
          <w:szCs w:val="16"/>
          <w:color w:val="auto"/>
        </w:rPr>
        <w:t xml:space="preserve">o </w:t>
      </w:r>
      <w:r>
        <w:rPr>
          <w:rFonts w:ascii="Arial" w:cs="Arial" w:eastAsia="Arial" w:hAnsi="Arial"/>
          <w:sz w:val="16"/>
          <w:szCs w:val="16"/>
          <w:color w:val="auto"/>
        </w:rPr>
        <w:t>Testing the data inputs used by specialist for completeness and accuracy;</w:t>
      </w:r>
      <w:r>
        <w:rPr>
          <w:rFonts w:ascii="Courier New" w:cs="Courier New" w:eastAsia="Courier New" w:hAnsi="Courier New"/>
          <w:sz w:val="16"/>
          <w:szCs w:val="16"/>
          <w:color w:val="auto"/>
        </w:rPr>
        <w:t xml:space="preserve"> o </w:t>
      </w:r>
      <w:r>
        <w:rPr>
          <w:rFonts w:ascii="Arial" w:cs="Arial" w:eastAsia="Arial" w:hAnsi="Arial"/>
          <w:sz w:val="16"/>
          <w:szCs w:val="16"/>
          <w:color w:val="auto"/>
        </w:rPr>
        <w:t>Testing the specialist’s findings for mathematical accuracy; and,</w:t>
      </w:r>
    </w:p>
    <w:p>
      <w:pPr>
        <w:ind w:left="1040"/>
        <w:spacing w:after="0"/>
        <w:rPr>
          <w:rFonts w:ascii="Arial" w:cs="Arial" w:eastAsia="Arial" w:hAnsi="Arial"/>
          <w:sz w:val="16"/>
          <w:szCs w:val="16"/>
          <w:color w:val="auto"/>
        </w:rPr>
      </w:pPr>
      <w:r>
        <w:rPr>
          <w:rFonts w:ascii="Courier New" w:cs="Courier New" w:eastAsia="Courier New" w:hAnsi="Courier New"/>
          <w:sz w:val="17"/>
          <w:szCs w:val="17"/>
          <w:color w:val="auto"/>
        </w:rPr>
        <w:t xml:space="preserve">o  </w:t>
      </w:r>
      <w:r>
        <w:rPr>
          <w:rFonts w:ascii="Arial" w:cs="Arial" w:eastAsia="Arial" w:hAnsi="Arial"/>
          <w:sz w:val="17"/>
          <w:szCs w:val="17"/>
          <w:color w:val="auto"/>
        </w:rPr>
        <w:t>Performing analytical procedures on pricing, reserve quantities and cost estimates developed by</w:t>
      </w:r>
    </w:p>
    <w:p>
      <w:pPr>
        <w:spacing w:after="0" w:line="58" w:lineRule="exact"/>
        <w:rPr>
          <w:rFonts w:ascii="Arial" w:cs="Arial" w:eastAsia="Arial" w:hAnsi="Arial"/>
          <w:sz w:val="16"/>
          <w:szCs w:val="16"/>
          <w:color w:val="auto"/>
        </w:rPr>
      </w:pPr>
    </w:p>
    <w:p>
      <w:pPr>
        <w:ind w:left="1380"/>
        <w:spacing w:after="0"/>
        <w:rPr>
          <w:rFonts w:ascii="Arial" w:cs="Arial" w:eastAsia="Arial" w:hAnsi="Arial"/>
          <w:sz w:val="16"/>
          <w:szCs w:val="16"/>
          <w:color w:val="auto"/>
        </w:rPr>
      </w:pPr>
      <w:r>
        <w:rPr>
          <w:rFonts w:ascii="Arial" w:cs="Arial" w:eastAsia="Arial" w:hAnsi="Arial"/>
          <w:sz w:val="18"/>
          <w:szCs w:val="18"/>
          <w:color w:val="auto"/>
        </w:rPr>
        <w:t>management and its specialists. Those procedures entailed comparisons of:</w:t>
      </w:r>
    </w:p>
    <w:p>
      <w:pPr>
        <w:spacing w:after="0" w:line="23" w:lineRule="exact"/>
        <w:rPr>
          <w:rFonts w:ascii="Arial" w:cs="Arial" w:eastAsia="Arial" w:hAnsi="Arial"/>
          <w:sz w:val="16"/>
          <w:szCs w:val="16"/>
          <w:color w:val="auto"/>
        </w:rPr>
      </w:pPr>
    </w:p>
    <w:p>
      <w:pPr>
        <w:ind w:left="1940" w:right="1979"/>
        <w:spacing w:after="0" w:line="322" w:lineRule="auto"/>
        <w:rPr>
          <w:rFonts w:ascii="Arial" w:cs="Arial" w:eastAsia="Arial" w:hAnsi="Arial"/>
          <w:sz w:val="16"/>
          <w:szCs w:val="16"/>
          <w:color w:val="auto"/>
        </w:rPr>
      </w:pPr>
      <w:r>
        <w:rPr>
          <w:rFonts w:ascii="Arial" w:cs="Arial" w:eastAsia="Arial" w:hAnsi="Arial"/>
          <w:sz w:val="16"/>
          <w:szCs w:val="16"/>
          <w:color w:val="auto"/>
        </w:rPr>
        <w:t>prices to historical benchmark prices, adjusted for pricing differentials, production forecasts to recent historical actual production,</w:t>
      </w:r>
    </w:p>
    <w:p>
      <w:pPr>
        <w:ind w:left="1620"/>
        <w:spacing w:after="0"/>
        <w:rPr>
          <w:rFonts w:ascii="Arial" w:cs="Arial" w:eastAsia="Arial" w:hAnsi="Arial"/>
          <w:sz w:val="16"/>
          <w:szCs w:val="16"/>
          <w:color w:val="auto"/>
        </w:rPr>
      </w:pPr>
      <w:r>
        <w:rPr>
          <w:rFonts w:ascii="Arial" w:cs="Arial" w:eastAsia="Arial" w:hAnsi="Arial"/>
          <w:sz w:val="17"/>
          <w:szCs w:val="17"/>
          <w:color w:val="auto"/>
        </w:rPr>
        <w:t>projections of lease operating costs to costs incurred by property during fiscal year ended June</w:t>
      </w:r>
    </w:p>
    <w:p>
      <w:pPr>
        <w:spacing w:after="0" w:line="65" w:lineRule="exact"/>
        <w:rPr>
          <w:rFonts w:ascii="Arial" w:cs="Arial" w:eastAsia="Arial" w:hAnsi="Arial"/>
          <w:sz w:val="16"/>
          <w:szCs w:val="16"/>
          <w:color w:val="auto"/>
        </w:rPr>
      </w:pPr>
    </w:p>
    <w:p>
      <w:pPr>
        <w:ind w:left="1940"/>
        <w:spacing w:after="0"/>
        <w:rPr>
          <w:rFonts w:ascii="Arial" w:cs="Arial" w:eastAsia="Arial" w:hAnsi="Arial"/>
          <w:sz w:val="16"/>
          <w:szCs w:val="16"/>
          <w:color w:val="auto"/>
        </w:rPr>
      </w:pPr>
      <w:r>
        <w:rPr>
          <w:rFonts w:ascii="Arial" w:cs="Arial" w:eastAsia="Arial" w:hAnsi="Arial"/>
          <w:sz w:val="18"/>
          <w:szCs w:val="18"/>
          <w:color w:val="auto"/>
        </w:rPr>
        <w:t>30, 2023, and</w:t>
      </w:r>
    </w:p>
    <w:p>
      <w:pPr>
        <w:spacing w:after="0" w:line="23" w:lineRule="exact"/>
        <w:rPr>
          <w:rFonts w:ascii="Arial" w:cs="Arial" w:eastAsia="Arial" w:hAnsi="Arial"/>
          <w:sz w:val="16"/>
          <w:szCs w:val="16"/>
          <w:color w:val="auto"/>
        </w:rPr>
      </w:pPr>
    </w:p>
    <w:p>
      <w:pPr>
        <w:ind w:left="1620"/>
        <w:spacing w:after="0"/>
        <w:rPr>
          <w:rFonts w:ascii="Arial" w:cs="Arial" w:eastAsia="Arial" w:hAnsi="Arial"/>
          <w:sz w:val="16"/>
          <w:szCs w:val="16"/>
          <w:color w:val="auto"/>
        </w:rPr>
      </w:pPr>
      <w:r>
        <w:rPr>
          <w:rFonts w:ascii="Arial" w:cs="Arial" w:eastAsia="Arial" w:hAnsi="Arial"/>
          <w:sz w:val="18"/>
          <w:szCs w:val="18"/>
          <w:color w:val="auto"/>
        </w:rPr>
        <w:t>projected production taxes to recent historical taxes incurred and to statutory tax rates.</w:t>
      </w:r>
    </w:p>
    <w:p>
      <w:pPr>
        <w:spacing w:after="0" w:line="48" w:lineRule="exact"/>
        <w:rPr>
          <w:rFonts w:ascii="Arial" w:cs="Arial" w:eastAsia="Arial" w:hAnsi="Arial"/>
          <w:sz w:val="16"/>
          <w:szCs w:val="16"/>
          <w:color w:val="auto"/>
        </w:rPr>
      </w:pPr>
    </w:p>
    <w:p>
      <w:pPr>
        <w:ind w:left="720" w:right="239" w:hanging="319"/>
        <w:spacing w:after="0" w:line="289"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Evaluating the accuracy of revenue and working interest percentages used in the reserve reports by comparing a sample of such interests to the land records.</w:t>
      </w:r>
    </w:p>
    <w:p>
      <w:pPr>
        <w:spacing w:after="0" w:line="1" w:lineRule="exact"/>
        <w:rPr>
          <w:rFonts w:ascii="Arial" w:cs="Arial" w:eastAsia="Arial" w:hAnsi="Arial"/>
          <w:sz w:val="18"/>
          <w:szCs w:val="18"/>
          <w:color w:val="auto"/>
        </w:rPr>
      </w:pPr>
    </w:p>
    <w:p>
      <w:pPr>
        <w:ind w:left="720" w:right="139" w:hanging="319"/>
        <w:spacing w:after="0" w:line="289"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Performing retrospective review of historical estimates of proved oil and natural gas reserves to identify potential management bias in estimates.</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Testing the accuracy of the Company’s depletion and impairment calculations that included these proved reserves.</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Moss Adams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156019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219" w:lineRule="exact"/>
        <w:rPr>
          <w:sz w:val="20"/>
          <w:szCs w:val="20"/>
          <w:color w:val="auto"/>
        </w:rPr>
      </w:pPr>
    </w:p>
    <w:p>
      <w:pPr>
        <w:ind w:left="60"/>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13, 2023</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Shareholders and the Board of Directors of</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Evolution Petroleum Corporation</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Opinion on Internal Control over Financial Reporting</w:t>
      </w:r>
    </w:p>
    <w:p>
      <w:pPr>
        <w:spacing w:after="0" w:line="225" w:lineRule="exact"/>
        <w:rPr>
          <w:sz w:val="20"/>
          <w:szCs w:val="20"/>
          <w:color w:val="auto"/>
        </w:rPr>
      </w:pPr>
    </w:p>
    <w:p>
      <w:pPr>
        <w:ind w:left="60" w:right="79"/>
        <w:spacing w:after="0" w:line="275" w:lineRule="auto"/>
        <w:rPr>
          <w:sz w:val="20"/>
          <w:szCs w:val="20"/>
          <w:color w:val="auto"/>
        </w:rPr>
      </w:pPr>
      <w:r>
        <w:rPr>
          <w:rFonts w:ascii="Arial" w:cs="Arial" w:eastAsia="Arial" w:hAnsi="Arial"/>
          <w:sz w:val="17"/>
          <w:szCs w:val="17"/>
          <w:color w:val="auto"/>
        </w:rPr>
        <w:t>We have audited Evolution Petroleum Corporation and subsidiaries (the “Company”) internal control over financial reporting as of June 30, 2023,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June 30, 2023, based on criteria established in Internal Control – Integrated Framework (2013) issued by COSO.</w:t>
      </w:r>
    </w:p>
    <w:p>
      <w:pPr>
        <w:spacing w:after="0" w:line="176" w:lineRule="exact"/>
        <w:rPr>
          <w:sz w:val="20"/>
          <w:szCs w:val="20"/>
          <w:color w:val="auto"/>
        </w:rPr>
      </w:pPr>
    </w:p>
    <w:p>
      <w:pPr>
        <w:ind w:left="60" w:right="259"/>
        <w:spacing w:after="0" w:line="29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Evolution Petroleum Corporation and subsidiaries as of June 30, 2023 and 2022, the related consolidated statements of operations, cash flows, and changes in stockholders’ equity for the years then ended, and the related notes (collectively referred to as the “consolidated financial statements”) and our report dated September 13, 2023 expressed an unqualified opinion on those consolidated financial statements.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ind w:left="60" w:right="99"/>
        <w:spacing w:after="0" w:line="293"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included in Item 9A.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ind w:left="60" w:right="59"/>
        <w:spacing w:after="0" w:line="293"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ind w:left="60" w:right="99"/>
        <w:spacing w:after="0" w:line="28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6" w:lineRule="exact"/>
        <w:rPr>
          <w:sz w:val="20"/>
          <w:szCs w:val="20"/>
          <w:color w:val="auto"/>
        </w:rPr>
      </w:pPr>
    </w:p>
    <w:p>
      <w:pPr>
        <w:jc w:val="both"/>
        <w:ind w:left="60" w:right="159"/>
        <w:spacing w:after="0" w:line="31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Moss Adams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15601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219" w:lineRule="exact"/>
        <w:rPr>
          <w:sz w:val="20"/>
          <w:szCs w:val="20"/>
          <w:color w:val="auto"/>
        </w:rPr>
      </w:pPr>
    </w:p>
    <w:p>
      <w:pPr>
        <w:ind w:left="60"/>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13, 2023</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EVOLUTION PETROLEUM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43"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5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 2023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219"/>
              <w:spacing w:after="0"/>
              <w:rPr>
                <w:sz w:val="20"/>
                <w:szCs w:val="20"/>
                <w:color w:val="auto"/>
              </w:rPr>
            </w:pPr>
            <w:r>
              <w:rPr>
                <w:rFonts w:ascii="Arial" w:cs="Arial" w:eastAsia="Arial" w:hAnsi="Arial"/>
                <w:sz w:val="16"/>
                <w:szCs w:val="16"/>
                <w:b w:val="1"/>
                <w:bCs w:val="1"/>
                <w:color w:val="auto"/>
                <w:w w:val="97"/>
              </w:rPr>
              <w:t>June 30, 2022</w:t>
            </w:r>
          </w:p>
        </w:tc>
      </w:tr>
      <w:tr>
        <w:trPr>
          <w:trHeight w:val="199"/>
        </w:trPr>
        <w:tc>
          <w:tcPr>
            <w:tcW w:w="5440" w:type="dxa"/>
            <w:vAlign w:val="bottom"/>
            <w:tcBorders>
              <w:top w:val="single" w:sz="8" w:color="CCEEFF"/>
            </w:tcBorders>
            <w:shd w:val="clear" w:color="auto" w:fill="CCEEFF"/>
          </w:tcPr>
          <w:p>
            <w:pPr>
              <w:ind w:left="2520"/>
              <w:spacing w:after="0"/>
              <w:rPr>
                <w:sz w:val="20"/>
                <w:szCs w:val="20"/>
                <w:color w:val="auto"/>
              </w:rPr>
            </w:pPr>
            <w:r>
              <w:rPr>
                <w:rFonts w:ascii="Arial" w:cs="Arial" w:eastAsia="Arial" w:hAnsi="Arial"/>
                <w:sz w:val="16"/>
                <w:szCs w:val="16"/>
                <w:b w:val="1"/>
                <w:bCs w:val="1"/>
                <w:color w:val="auto"/>
              </w:rPr>
              <w:t>Assets</w:t>
            </w: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r>
      <w:tr>
        <w:trPr>
          <w:trHeight w:val="203"/>
        </w:trPr>
        <w:tc>
          <w:tcPr>
            <w:tcW w:w="5440" w:type="dxa"/>
            <w:vAlign w:val="bottom"/>
          </w:tcPr>
          <w:p>
            <w:pPr>
              <w:spacing w:after="0"/>
              <w:rPr>
                <w:sz w:val="20"/>
                <w:szCs w:val="20"/>
                <w:color w:val="auto"/>
              </w:rPr>
            </w:pPr>
            <w:r>
              <w:rPr>
                <w:rFonts w:ascii="Arial" w:cs="Arial" w:eastAsia="Arial" w:hAnsi="Arial"/>
                <w:sz w:val="16"/>
                <w:szCs w:val="16"/>
                <w:color w:val="auto"/>
              </w:rPr>
              <w:t>Current assets</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5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Cash and cash equivalents</w:t>
            </w:r>
          </w:p>
        </w:tc>
        <w:tc>
          <w:tcPr>
            <w:tcW w:w="500" w:type="dxa"/>
            <w:vAlign w:val="bottom"/>
            <w:gridSpan w:val="2"/>
            <w:shd w:val="clear" w:color="auto" w:fill="CCEEFF"/>
          </w:tcPr>
          <w:p>
            <w:pPr>
              <w:jc w:val="right"/>
              <w:ind w:right="2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11,034</w:t>
            </w:r>
          </w:p>
        </w:tc>
        <w:tc>
          <w:tcPr>
            <w:tcW w:w="2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8,280</w:t>
            </w:r>
          </w:p>
        </w:tc>
      </w:tr>
      <w:tr>
        <w:trPr>
          <w:trHeight w:val="203"/>
        </w:trPr>
        <w:tc>
          <w:tcPr>
            <w:tcW w:w="5440" w:type="dxa"/>
            <w:vAlign w:val="bottom"/>
          </w:tcPr>
          <w:p>
            <w:pPr>
              <w:ind w:left="100"/>
              <w:spacing w:after="0"/>
              <w:rPr>
                <w:sz w:val="20"/>
                <w:szCs w:val="20"/>
                <w:color w:val="auto"/>
              </w:rPr>
            </w:pPr>
            <w:r>
              <w:rPr>
                <w:rFonts w:ascii="Arial" w:cs="Arial" w:eastAsia="Arial" w:hAnsi="Arial"/>
                <w:sz w:val="16"/>
                <w:szCs w:val="16"/>
                <w:color w:val="auto"/>
              </w:rPr>
              <w:t>Receivables from crude oil, natural gas, and natural gas liquids revenues</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7,884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24,043</w:t>
            </w:r>
          </w:p>
        </w:tc>
      </w:tr>
      <w:tr>
        <w:trPr>
          <w:trHeight w:val="203"/>
        </w:trPr>
        <w:tc>
          <w:tcPr>
            <w:tcW w:w="5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Derivative contract assets</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r>
      <w:tr>
        <w:trPr>
          <w:trHeight w:val="203"/>
        </w:trPr>
        <w:tc>
          <w:tcPr>
            <w:tcW w:w="544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2,277</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3,875</w:t>
            </w:r>
          </w:p>
        </w:tc>
      </w:tr>
      <w:tr>
        <w:trPr>
          <w:trHeight w:val="196"/>
        </w:trPr>
        <w:tc>
          <w:tcPr>
            <w:tcW w:w="54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current assets</w:t>
            </w:r>
          </w:p>
        </w:tc>
        <w:tc>
          <w:tcPr>
            <w:tcW w:w="3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21,195</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36,368</w:t>
            </w:r>
          </w:p>
        </w:tc>
      </w:tr>
      <w:tr>
        <w:trPr>
          <w:trHeight w:val="193"/>
        </w:trPr>
        <w:tc>
          <w:tcPr>
            <w:tcW w:w="5440" w:type="dxa"/>
            <w:vAlign w:val="bottom"/>
          </w:tcPr>
          <w:p>
            <w:pPr>
              <w:spacing w:after="0"/>
              <w:rPr>
                <w:sz w:val="20"/>
                <w:szCs w:val="20"/>
                <w:color w:val="auto"/>
              </w:rPr>
            </w:pPr>
            <w:r>
              <w:rPr>
                <w:rFonts w:ascii="Arial" w:cs="Arial" w:eastAsia="Arial" w:hAnsi="Arial"/>
                <w:sz w:val="16"/>
                <w:szCs w:val="16"/>
                <w:color w:val="auto"/>
              </w:rPr>
              <w:t>Property and equipment, net of depletion, depreciation, and impairment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6"/>
        </w:trPr>
        <w:tc>
          <w:tcPr>
            <w:tcW w:w="5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Oil and natural gas properties, net—full-cost method of accounting, of</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03"/>
        </w:trPr>
        <w:tc>
          <w:tcPr>
            <w:tcW w:w="5440" w:type="dxa"/>
            <w:vAlign w:val="bottom"/>
          </w:tcPr>
          <w:p>
            <w:pPr>
              <w:ind w:left="100"/>
              <w:spacing w:after="0"/>
              <w:rPr>
                <w:sz w:val="20"/>
                <w:szCs w:val="20"/>
                <w:color w:val="auto"/>
              </w:rPr>
            </w:pPr>
            <w:r>
              <w:rPr>
                <w:rFonts w:ascii="Arial" w:cs="Arial" w:eastAsia="Arial" w:hAnsi="Arial"/>
                <w:sz w:val="16"/>
                <w:szCs w:val="16"/>
                <w:color w:val="auto"/>
              </w:rPr>
              <w:t>which none were excluded from amortization</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105,781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110,508</w:t>
            </w:r>
          </w:p>
        </w:tc>
      </w:tr>
      <w:tr>
        <w:trPr>
          <w:trHeight w:val="203"/>
        </w:trPr>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3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1,341</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1,171</w:t>
            </w:r>
          </w:p>
        </w:tc>
      </w:tr>
      <w:tr>
        <w:trPr>
          <w:trHeight w:val="236"/>
        </w:trPr>
        <w:tc>
          <w:tcPr>
            <w:tcW w:w="54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assets</w:t>
            </w:r>
          </w:p>
        </w:tc>
        <w:tc>
          <w:tcPr>
            <w:tcW w:w="3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128,317</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148,047</w:t>
            </w:r>
          </w:p>
        </w:tc>
      </w:tr>
      <w:tr>
        <w:trPr>
          <w:trHeight w:val="183"/>
        </w:trPr>
        <w:tc>
          <w:tcPr>
            <w:tcW w:w="5440" w:type="dxa"/>
            <w:vAlign w:val="bottom"/>
            <w:shd w:val="clear" w:color="auto" w:fill="CCEEFF"/>
          </w:tcPr>
          <w:p>
            <w:pPr>
              <w:ind w:left="1480"/>
              <w:spacing w:after="0" w:line="177" w:lineRule="exact"/>
              <w:rPr>
                <w:sz w:val="20"/>
                <w:szCs w:val="20"/>
                <w:color w:val="auto"/>
              </w:rPr>
            </w:pPr>
            <w:r>
              <w:rPr>
                <w:rFonts w:ascii="Arial" w:cs="Arial" w:eastAsia="Arial" w:hAnsi="Arial"/>
                <w:sz w:val="16"/>
                <w:szCs w:val="16"/>
                <w:b w:val="1"/>
                <w:bCs w:val="1"/>
                <w:color w:val="auto"/>
              </w:rPr>
              <w:t>Liabilities and Stockholders’ Equity</w:t>
            </w: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03"/>
        </w:trPr>
        <w:tc>
          <w:tcPr>
            <w:tcW w:w="5440" w:type="dxa"/>
            <w:vAlign w:val="bottom"/>
          </w:tcPr>
          <w:p>
            <w:pPr>
              <w:spacing w:after="0"/>
              <w:rPr>
                <w:sz w:val="20"/>
                <w:szCs w:val="20"/>
                <w:color w:val="auto"/>
              </w:rPr>
            </w:pPr>
            <w:r>
              <w:rPr>
                <w:rFonts w:ascii="Arial" w:cs="Arial" w:eastAsia="Arial" w:hAnsi="Arial"/>
                <w:sz w:val="16"/>
                <w:szCs w:val="16"/>
                <w:color w:val="auto"/>
              </w:rPr>
              <w:t>Current liabilities</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5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Accounts payable</w:t>
            </w:r>
          </w:p>
        </w:tc>
        <w:tc>
          <w:tcPr>
            <w:tcW w:w="500" w:type="dxa"/>
            <w:vAlign w:val="bottom"/>
            <w:gridSpan w:val="2"/>
            <w:shd w:val="clear" w:color="auto" w:fill="CCEEFF"/>
          </w:tcPr>
          <w:p>
            <w:pPr>
              <w:jc w:val="right"/>
              <w:ind w:right="2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5,891</w:t>
            </w:r>
          </w:p>
        </w:tc>
        <w:tc>
          <w:tcPr>
            <w:tcW w:w="2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15,133</w:t>
            </w:r>
          </w:p>
        </w:tc>
      </w:tr>
      <w:tr>
        <w:trPr>
          <w:trHeight w:val="202"/>
        </w:trPr>
        <w:tc>
          <w:tcPr>
            <w:tcW w:w="5440" w:type="dxa"/>
            <w:vAlign w:val="bottom"/>
          </w:tcPr>
          <w:p>
            <w:pPr>
              <w:ind w:left="100"/>
              <w:spacing w:after="0"/>
              <w:rPr>
                <w:sz w:val="20"/>
                <w:szCs w:val="20"/>
                <w:color w:val="auto"/>
              </w:rPr>
            </w:pPr>
            <w:r>
              <w:rPr>
                <w:rFonts w:ascii="Arial" w:cs="Arial" w:eastAsia="Arial" w:hAnsi="Arial"/>
                <w:sz w:val="16"/>
                <w:szCs w:val="16"/>
                <w:color w:val="auto"/>
              </w:rPr>
              <w:t>Accrued liabilities and other</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6,027</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11,893</w:t>
            </w:r>
          </w:p>
        </w:tc>
      </w:tr>
      <w:tr>
        <w:trPr>
          <w:trHeight w:val="203"/>
        </w:trPr>
        <w:tc>
          <w:tcPr>
            <w:tcW w:w="5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Derivative contract liabilities</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2,164</w:t>
            </w:r>
          </w:p>
        </w:tc>
      </w:tr>
      <w:tr>
        <w:trPr>
          <w:trHeight w:val="203"/>
        </w:trPr>
        <w:tc>
          <w:tcPr>
            <w:tcW w:w="544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State and federal taxes payable</w:t>
            </w:r>
          </w:p>
        </w:tc>
        <w:tc>
          <w:tcPr>
            <w:tcW w:w="3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1,095</w:t>
            </w:r>
          </w:p>
        </w:tc>
      </w:tr>
      <w:tr>
        <w:trPr>
          <w:trHeight w:val="196"/>
        </w:trPr>
        <w:tc>
          <w:tcPr>
            <w:tcW w:w="54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current liabilities</w:t>
            </w:r>
          </w:p>
        </w:tc>
        <w:tc>
          <w:tcPr>
            <w:tcW w:w="3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12,283</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30,285</w:t>
            </w:r>
          </w:p>
        </w:tc>
      </w:tr>
      <w:tr>
        <w:trPr>
          <w:trHeight w:val="193"/>
        </w:trPr>
        <w:tc>
          <w:tcPr>
            <w:tcW w:w="5440" w:type="dxa"/>
            <w:vAlign w:val="bottom"/>
          </w:tcPr>
          <w:p>
            <w:pPr>
              <w:spacing w:after="0"/>
              <w:rPr>
                <w:sz w:val="20"/>
                <w:szCs w:val="20"/>
                <w:color w:val="auto"/>
              </w:rPr>
            </w:pPr>
            <w:r>
              <w:rPr>
                <w:rFonts w:ascii="Arial" w:cs="Arial" w:eastAsia="Arial" w:hAnsi="Arial"/>
                <w:sz w:val="16"/>
                <w:szCs w:val="16"/>
                <w:color w:val="auto"/>
              </w:rPr>
              <w:t>Long term liabilities</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6"/>
        </w:trPr>
        <w:tc>
          <w:tcPr>
            <w:tcW w:w="5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Senior secured credit facility</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21,250</w:t>
            </w:r>
          </w:p>
        </w:tc>
      </w:tr>
      <w:tr>
        <w:trPr>
          <w:trHeight w:val="203"/>
        </w:trPr>
        <w:tc>
          <w:tcPr>
            <w:tcW w:w="5440" w:type="dxa"/>
            <w:vAlign w:val="bottom"/>
          </w:tcPr>
          <w:p>
            <w:pPr>
              <w:ind w:left="100"/>
              <w:spacing w:after="0"/>
              <w:rPr>
                <w:sz w:val="20"/>
                <w:szCs w:val="20"/>
                <w:color w:val="auto"/>
              </w:rPr>
            </w:pPr>
            <w:r>
              <w:rPr>
                <w:rFonts w:ascii="Arial" w:cs="Arial" w:eastAsia="Arial" w:hAnsi="Arial"/>
                <w:sz w:val="16"/>
                <w:szCs w:val="16"/>
                <w:color w:val="auto"/>
              </w:rPr>
              <w:t>Deferred income taxes</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6,803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7,099</w:t>
            </w:r>
          </w:p>
        </w:tc>
      </w:tr>
      <w:tr>
        <w:trPr>
          <w:trHeight w:val="203"/>
        </w:trPr>
        <w:tc>
          <w:tcPr>
            <w:tcW w:w="5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Asset retirement obligations</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17,012</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13,899</w:t>
            </w:r>
          </w:p>
        </w:tc>
      </w:tr>
      <w:tr>
        <w:trPr>
          <w:trHeight w:val="203"/>
        </w:trPr>
        <w:tc>
          <w:tcPr>
            <w:tcW w:w="544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Operating lease liability</w:t>
            </w:r>
          </w:p>
        </w:tc>
        <w:tc>
          <w:tcPr>
            <w:tcW w:w="3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54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liabilities</w:t>
            </w:r>
          </w:p>
        </w:tc>
        <w:tc>
          <w:tcPr>
            <w:tcW w:w="3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36,223</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72,533</w:t>
            </w:r>
          </w:p>
        </w:tc>
      </w:tr>
      <w:tr>
        <w:trPr>
          <w:trHeight w:val="190"/>
        </w:trPr>
        <w:tc>
          <w:tcPr>
            <w:tcW w:w="5440" w:type="dxa"/>
            <w:vAlign w:val="bottom"/>
          </w:tcPr>
          <w:p>
            <w:pPr>
              <w:spacing w:after="0"/>
              <w:rPr>
                <w:sz w:val="20"/>
                <w:szCs w:val="20"/>
                <w:color w:val="auto"/>
              </w:rPr>
            </w:pPr>
            <w:r>
              <w:rPr>
                <w:rFonts w:ascii="Arial" w:cs="Arial" w:eastAsia="Arial" w:hAnsi="Arial"/>
                <w:sz w:val="16"/>
                <w:szCs w:val="16"/>
                <w:color w:val="auto"/>
              </w:rPr>
              <w:t>Commitments and contingencies (Note 10)</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8"/>
        </w:trPr>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03"/>
        </w:trPr>
        <w:tc>
          <w:tcPr>
            <w:tcW w:w="5440" w:type="dxa"/>
            <w:vAlign w:val="bottom"/>
          </w:tcPr>
          <w:p>
            <w:pPr>
              <w:ind w:left="100"/>
              <w:spacing w:after="0"/>
              <w:rPr>
                <w:sz w:val="20"/>
                <w:szCs w:val="20"/>
                <w:color w:val="auto"/>
              </w:rPr>
            </w:pPr>
            <w:r>
              <w:rPr>
                <w:rFonts w:ascii="Arial" w:cs="Arial" w:eastAsia="Arial" w:hAnsi="Arial"/>
                <w:sz w:val="16"/>
                <w:szCs w:val="16"/>
                <w:color w:val="auto"/>
                <w:w w:val="96"/>
              </w:rPr>
              <w:t>Common stock; par value $0.001; 100,000,000 shares authorized: issued and</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5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outstanding 33,247,523 and 33,470,710 shares as of June 30, 2023</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03"/>
        </w:trPr>
        <w:tc>
          <w:tcPr>
            <w:tcW w:w="5440" w:type="dxa"/>
            <w:vAlign w:val="bottom"/>
          </w:tcPr>
          <w:p>
            <w:pPr>
              <w:ind w:left="100"/>
              <w:spacing w:after="0"/>
              <w:rPr>
                <w:sz w:val="20"/>
                <w:szCs w:val="20"/>
                <w:color w:val="auto"/>
              </w:rPr>
            </w:pPr>
            <w:r>
              <w:rPr>
                <w:rFonts w:ascii="Arial" w:cs="Arial" w:eastAsia="Arial" w:hAnsi="Arial"/>
                <w:sz w:val="16"/>
                <w:szCs w:val="16"/>
                <w:color w:val="auto"/>
              </w:rPr>
              <w:t>and 2022, respectively</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03"/>
        </w:trPr>
        <w:tc>
          <w:tcPr>
            <w:tcW w:w="5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Additional paid-in capital</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40,098</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42,629</w:t>
            </w:r>
          </w:p>
        </w:tc>
      </w:tr>
      <w:tr>
        <w:trPr>
          <w:trHeight w:val="203"/>
        </w:trPr>
        <w:tc>
          <w:tcPr>
            <w:tcW w:w="544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Retained earnings</w:t>
            </w:r>
          </w:p>
        </w:tc>
        <w:tc>
          <w:tcPr>
            <w:tcW w:w="3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51,963</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32,852</w:t>
            </w:r>
          </w:p>
        </w:tc>
      </w:tr>
      <w:tr>
        <w:trPr>
          <w:trHeight w:val="196"/>
        </w:trPr>
        <w:tc>
          <w:tcPr>
            <w:tcW w:w="54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stockholders’ equity</w:t>
            </w:r>
          </w:p>
        </w:tc>
        <w:tc>
          <w:tcPr>
            <w:tcW w:w="3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92,094</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75,514</w:t>
            </w:r>
          </w:p>
        </w:tc>
      </w:tr>
      <w:tr>
        <w:trPr>
          <w:trHeight w:val="196"/>
        </w:trPr>
        <w:tc>
          <w:tcPr>
            <w:tcW w:w="5440" w:type="dxa"/>
            <w:vAlign w:val="bottom"/>
          </w:tcPr>
          <w:p>
            <w:pPr>
              <w:ind w:left="320"/>
              <w:spacing w:after="0"/>
              <w:rPr>
                <w:sz w:val="20"/>
                <w:szCs w:val="20"/>
                <w:color w:val="auto"/>
              </w:rPr>
            </w:pPr>
            <w:r>
              <w:rPr>
                <w:rFonts w:ascii="Arial" w:cs="Arial" w:eastAsia="Arial" w:hAnsi="Arial"/>
                <w:sz w:val="16"/>
                <w:szCs w:val="16"/>
                <w:color w:val="auto"/>
              </w:rPr>
              <w:t>Total liabilities and stockholders’ equity</w:t>
            </w:r>
          </w:p>
        </w:tc>
        <w:tc>
          <w:tcPr>
            <w:tcW w:w="360" w:type="dxa"/>
            <w:vAlign w:val="bottom"/>
          </w:tcPr>
          <w:p>
            <w:pPr>
              <w:spacing w:after="0"/>
              <w:rPr>
                <w:sz w:val="17"/>
                <w:szCs w:val="17"/>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128,317</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148,047</w:t>
            </w:r>
          </w:p>
        </w:tc>
      </w:tr>
      <w:tr>
        <w:trPr>
          <w:trHeight w:val="20"/>
        </w:trPr>
        <w:tc>
          <w:tcPr>
            <w:tcW w:w="5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EVOLUTION PETROLEUM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43"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4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Years Ended June 30,</w:t>
            </w:r>
          </w:p>
        </w:tc>
        <w:tc>
          <w:tcPr>
            <w:tcW w:w="860" w:type="dxa"/>
            <w:vAlign w:val="bottom"/>
            <w:tcBorders>
              <w:bottom w:val="single" w:sz="8" w:color="auto"/>
            </w:tcBorders>
          </w:tcPr>
          <w:p>
            <w:pPr>
              <w:spacing w:after="0"/>
              <w:rPr>
                <w:sz w:val="18"/>
                <w:szCs w:val="18"/>
                <w:color w:val="auto"/>
              </w:rPr>
            </w:pPr>
          </w:p>
        </w:tc>
      </w:tr>
      <w:tr>
        <w:trPr>
          <w:trHeight w:val="199"/>
        </w:trPr>
        <w:tc>
          <w:tcPr>
            <w:tcW w:w="470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2023</w:t>
            </w:r>
          </w:p>
        </w:tc>
        <w:tc>
          <w:tcPr>
            <w:tcW w:w="3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r>
      <w:tr>
        <w:trPr>
          <w:trHeight w:val="196"/>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3"/>
        </w:trPr>
        <w:tc>
          <w:tcPr>
            <w:tcW w:w="4700" w:type="dxa"/>
            <w:vAlign w:val="bottom"/>
          </w:tcPr>
          <w:p>
            <w:pPr>
              <w:ind w:left="100"/>
              <w:spacing w:after="0"/>
              <w:rPr>
                <w:sz w:val="20"/>
                <w:szCs w:val="20"/>
                <w:color w:val="auto"/>
              </w:rPr>
            </w:pPr>
            <w:r>
              <w:rPr>
                <w:rFonts w:ascii="Arial" w:cs="Arial" w:eastAsia="Arial" w:hAnsi="Arial"/>
                <w:sz w:val="16"/>
                <w:szCs w:val="16"/>
                <w:color w:val="auto"/>
              </w:rPr>
              <w:t>Crude oil</w:t>
            </w:r>
          </w:p>
        </w:tc>
        <w:tc>
          <w:tcPr>
            <w:tcW w:w="1300" w:type="dxa"/>
            <w:vAlign w:val="bottom"/>
            <w:gridSpan w:val="2"/>
          </w:tcPr>
          <w:p>
            <w:pPr>
              <w:jc w:val="right"/>
              <w:ind w:right="24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51,044</w:t>
            </w:r>
          </w:p>
        </w:tc>
        <w:tc>
          <w:tcPr>
            <w:tcW w:w="740" w:type="dxa"/>
            <w:vAlign w:val="bottom"/>
            <w:gridSpan w:val="2"/>
          </w:tcPr>
          <w:p>
            <w:pPr>
              <w:jc w:val="right"/>
              <w:ind w:right="224"/>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52,683</w:t>
            </w:r>
          </w:p>
        </w:tc>
      </w:tr>
      <w:tr>
        <w:trPr>
          <w:trHeight w:val="203"/>
        </w:trPr>
        <w:tc>
          <w:tcPr>
            <w:tcW w:w="47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Natural gas</w:t>
            </w:r>
          </w:p>
        </w:tc>
        <w:tc>
          <w:tcPr>
            <w:tcW w:w="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63,800</w:t>
            </w: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39,174</w:t>
            </w:r>
          </w:p>
        </w:tc>
      </w:tr>
      <w:tr>
        <w:trPr>
          <w:trHeight w:val="203"/>
        </w:trPr>
        <w:tc>
          <w:tcPr>
            <w:tcW w:w="47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Natural gas liquids</w:t>
            </w:r>
          </w:p>
        </w:tc>
        <w:tc>
          <w:tcPr>
            <w:tcW w:w="9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13,670</w:t>
            </w:r>
          </w:p>
        </w:tc>
        <w:tc>
          <w:tcPr>
            <w:tcW w:w="3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17,069</w:t>
            </w:r>
          </w:p>
        </w:tc>
      </w:tr>
      <w:tr>
        <w:trPr>
          <w:trHeight w:val="196"/>
        </w:trPr>
        <w:tc>
          <w:tcPr>
            <w:tcW w:w="47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revenues</w:t>
            </w:r>
          </w:p>
        </w:tc>
        <w:tc>
          <w:tcPr>
            <w:tcW w:w="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128,514</w:t>
            </w: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108,926</w:t>
            </w:r>
          </w:p>
        </w:tc>
      </w:tr>
      <w:tr>
        <w:trPr>
          <w:trHeight w:val="203"/>
        </w:trPr>
        <w:tc>
          <w:tcPr>
            <w:tcW w:w="4700" w:type="dxa"/>
            <w:vAlign w:val="bottom"/>
          </w:tcPr>
          <w:p>
            <w:pPr>
              <w:spacing w:after="0"/>
              <w:rPr>
                <w:sz w:val="20"/>
                <w:szCs w:val="20"/>
                <w:color w:val="auto"/>
              </w:rPr>
            </w:pPr>
            <w:r>
              <w:rPr>
                <w:rFonts w:ascii="Arial" w:cs="Arial" w:eastAsia="Arial" w:hAnsi="Arial"/>
                <w:sz w:val="16"/>
                <w:szCs w:val="16"/>
                <w:color w:val="auto"/>
              </w:rPr>
              <w:t>Operating costs</w:t>
            </w: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7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Lease operating costs</w:t>
            </w:r>
          </w:p>
        </w:tc>
        <w:tc>
          <w:tcPr>
            <w:tcW w:w="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59,545</w:t>
            </w: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48,657</w:t>
            </w:r>
          </w:p>
        </w:tc>
      </w:tr>
      <w:tr>
        <w:trPr>
          <w:trHeight w:val="203"/>
        </w:trPr>
        <w:tc>
          <w:tcPr>
            <w:tcW w:w="4700" w:type="dxa"/>
            <w:vAlign w:val="bottom"/>
          </w:tcPr>
          <w:p>
            <w:pPr>
              <w:ind w:left="100"/>
              <w:spacing w:after="0"/>
              <w:rPr>
                <w:sz w:val="20"/>
                <w:szCs w:val="20"/>
                <w:color w:val="auto"/>
              </w:rPr>
            </w:pPr>
            <w:r>
              <w:rPr>
                <w:rFonts w:ascii="Arial" w:cs="Arial" w:eastAsia="Arial" w:hAnsi="Arial"/>
                <w:sz w:val="16"/>
                <w:szCs w:val="16"/>
                <w:color w:val="auto"/>
              </w:rPr>
              <w:t>Depletion, depreciation, and accretion</w:t>
            </w: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14,273</w:t>
            </w: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8,053</w:t>
            </w:r>
          </w:p>
        </w:tc>
      </w:tr>
      <w:tr>
        <w:trPr>
          <w:trHeight w:val="203"/>
        </w:trPr>
        <w:tc>
          <w:tcPr>
            <w:tcW w:w="47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General and administrative expenses</w:t>
            </w:r>
          </w:p>
        </w:tc>
        <w:tc>
          <w:tcPr>
            <w:tcW w:w="9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9,583</w:t>
            </w:r>
          </w:p>
        </w:tc>
        <w:tc>
          <w:tcPr>
            <w:tcW w:w="36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6,835</w:t>
            </w:r>
          </w:p>
        </w:tc>
      </w:tr>
      <w:tr>
        <w:trPr>
          <w:trHeight w:val="196"/>
        </w:trPr>
        <w:tc>
          <w:tcPr>
            <w:tcW w:w="470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Total operating costs</w:t>
            </w:r>
          </w:p>
        </w:tc>
        <w:tc>
          <w:tcPr>
            <w:tcW w:w="9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83,401</w:t>
            </w:r>
          </w:p>
        </w:tc>
        <w:tc>
          <w:tcPr>
            <w:tcW w:w="3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63,545</w:t>
            </w:r>
          </w:p>
        </w:tc>
      </w:tr>
      <w:tr>
        <w:trPr>
          <w:trHeight w:val="196"/>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Income (loss) from operations</w:t>
            </w:r>
          </w:p>
        </w:tc>
        <w:tc>
          <w:tcPr>
            <w:tcW w:w="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45,113</w:t>
            </w: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45,381</w:t>
            </w:r>
          </w:p>
        </w:tc>
      </w:tr>
      <w:tr>
        <w:trPr>
          <w:trHeight w:val="203"/>
        </w:trPr>
        <w:tc>
          <w:tcPr>
            <w:tcW w:w="4700" w:type="dxa"/>
            <w:vAlign w:val="bottom"/>
          </w:tcPr>
          <w:p>
            <w:pPr>
              <w:spacing w:after="0"/>
              <w:rPr>
                <w:sz w:val="20"/>
                <w:szCs w:val="20"/>
                <w:color w:val="auto"/>
              </w:rPr>
            </w:pPr>
            <w:r>
              <w:rPr>
                <w:rFonts w:ascii="Arial" w:cs="Arial" w:eastAsia="Arial" w:hAnsi="Arial"/>
                <w:sz w:val="16"/>
                <w:szCs w:val="16"/>
                <w:color w:val="auto"/>
              </w:rPr>
              <w:t>Other income (expense)</w:t>
            </w: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7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gain (loss) on derivative contracts</w:t>
            </w:r>
          </w:p>
        </w:tc>
        <w:tc>
          <w:tcPr>
            <w:tcW w:w="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(3,763)</w:t>
            </w:r>
          </w:p>
        </w:tc>
      </w:tr>
      <w:tr>
        <w:trPr>
          <w:trHeight w:val="203"/>
        </w:trPr>
        <w:tc>
          <w:tcPr>
            <w:tcW w:w="4700" w:type="dxa"/>
            <w:vAlign w:val="bottom"/>
          </w:tcPr>
          <w:p>
            <w:pPr>
              <w:ind w:left="100"/>
              <w:spacing w:after="0"/>
              <w:rPr>
                <w:sz w:val="20"/>
                <w:szCs w:val="20"/>
                <w:color w:val="auto"/>
              </w:rPr>
            </w:pPr>
            <w:r>
              <w:rPr>
                <w:rFonts w:ascii="Arial" w:cs="Arial" w:eastAsia="Arial" w:hAnsi="Arial"/>
                <w:sz w:val="16"/>
                <w:szCs w:val="16"/>
                <w:color w:val="auto"/>
              </w:rPr>
              <w:t>Interest and other income</w:t>
            </w: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121</w:t>
            </w: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03"/>
        </w:trPr>
        <w:tc>
          <w:tcPr>
            <w:tcW w:w="47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Interest expense</w:t>
            </w:r>
          </w:p>
        </w:tc>
        <w:tc>
          <w:tcPr>
            <w:tcW w:w="9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w:t>
            </w:r>
          </w:p>
        </w:tc>
        <w:tc>
          <w:tcPr>
            <w:tcW w:w="36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(572)</w:t>
            </w:r>
          </w:p>
        </w:tc>
      </w:tr>
      <w:tr>
        <w:trPr>
          <w:trHeight w:val="196"/>
        </w:trPr>
        <w:tc>
          <w:tcPr>
            <w:tcW w:w="4700" w:type="dxa"/>
            <w:vAlign w:val="bottom"/>
          </w:tcPr>
          <w:p>
            <w:pPr>
              <w:spacing w:after="0"/>
              <w:rPr>
                <w:sz w:val="20"/>
                <w:szCs w:val="20"/>
                <w:color w:val="auto"/>
              </w:rPr>
            </w:pPr>
            <w:r>
              <w:rPr>
                <w:rFonts w:ascii="Arial" w:cs="Arial" w:eastAsia="Arial" w:hAnsi="Arial"/>
                <w:sz w:val="16"/>
                <w:szCs w:val="16"/>
                <w:color w:val="auto"/>
              </w:rPr>
              <w:t>Income (loss) before income taxes</w:t>
            </w: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45,289</w:t>
            </w: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41,141</w:t>
            </w:r>
          </w:p>
        </w:tc>
      </w:tr>
      <w:tr>
        <w:trPr>
          <w:trHeight w:val="203"/>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 benefit</w:t>
            </w:r>
          </w:p>
        </w:tc>
        <w:tc>
          <w:tcPr>
            <w:tcW w:w="9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(10,072)</w:t>
            </w:r>
          </w:p>
        </w:tc>
        <w:tc>
          <w:tcPr>
            <w:tcW w:w="36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(8,513)</w:t>
            </w:r>
          </w:p>
        </w:tc>
      </w:tr>
      <w:tr>
        <w:trPr>
          <w:trHeight w:val="236"/>
        </w:trPr>
        <w:tc>
          <w:tcPr>
            <w:tcW w:w="47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income (loss)</w:t>
            </w:r>
          </w:p>
        </w:tc>
        <w:tc>
          <w:tcPr>
            <w:tcW w:w="9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35,217</w:t>
            </w:r>
          </w:p>
        </w:tc>
        <w:tc>
          <w:tcPr>
            <w:tcW w:w="3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32,628</w:t>
            </w:r>
          </w:p>
        </w:tc>
      </w:tr>
      <w:tr>
        <w:trPr>
          <w:trHeight w:val="183"/>
        </w:trPr>
        <w:tc>
          <w:tcPr>
            <w:tcW w:w="470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Net income (loss) per common share:</w:t>
            </w:r>
          </w:p>
        </w:tc>
        <w:tc>
          <w:tcPr>
            <w:tcW w:w="9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03"/>
        </w:trPr>
        <w:tc>
          <w:tcPr>
            <w:tcW w:w="4700" w:type="dxa"/>
            <w:vAlign w:val="bottom"/>
          </w:tcPr>
          <w:p>
            <w:pPr>
              <w:ind w:left="100"/>
              <w:spacing w:after="0"/>
              <w:rPr>
                <w:sz w:val="20"/>
                <w:szCs w:val="20"/>
                <w:color w:val="auto"/>
              </w:rPr>
            </w:pPr>
            <w:r>
              <w:rPr>
                <w:rFonts w:ascii="Arial" w:cs="Arial" w:eastAsia="Arial" w:hAnsi="Arial"/>
                <w:sz w:val="16"/>
                <w:szCs w:val="16"/>
                <w:color w:val="auto"/>
              </w:rPr>
              <w:t>Basic</w:t>
            </w:r>
          </w:p>
        </w:tc>
        <w:tc>
          <w:tcPr>
            <w:tcW w:w="1300" w:type="dxa"/>
            <w:vAlign w:val="bottom"/>
            <w:gridSpan w:val="2"/>
          </w:tcPr>
          <w:p>
            <w:pPr>
              <w:jc w:val="right"/>
              <w:ind w:right="24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1.05</w:t>
            </w:r>
          </w:p>
        </w:tc>
        <w:tc>
          <w:tcPr>
            <w:tcW w:w="740" w:type="dxa"/>
            <w:vAlign w:val="bottom"/>
            <w:gridSpan w:val="2"/>
          </w:tcPr>
          <w:p>
            <w:pPr>
              <w:jc w:val="right"/>
              <w:ind w:right="224"/>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0.97</w:t>
            </w:r>
          </w:p>
        </w:tc>
      </w:tr>
      <w:tr>
        <w:trPr>
          <w:trHeight w:val="203"/>
        </w:trPr>
        <w:tc>
          <w:tcPr>
            <w:tcW w:w="47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Diluted</w:t>
            </w:r>
          </w:p>
        </w:tc>
        <w:tc>
          <w:tcPr>
            <w:tcW w:w="1300" w:type="dxa"/>
            <w:vAlign w:val="bottom"/>
            <w:gridSpan w:val="2"/>
            <w:shd w:val="clear" w:color="auto" w:fill="CCEEFF"/>
          </w:tcPr>
          <w:p>
            <w:pPr>
              <w:jc w:val="right"/>
              <w:ind w:right="24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740" w:type="dxa"/>
            <w:vAlign w:val="bottom"/>
            <w:gridSpan w:val="2"/>
            <w:shd w:val="clear" w:color="auto" w:fill="CCEEFF"/>
          </w:tcPr>
          <w:p>
            <w:pPr>
              <w:jc w:val="right"/>
              <w:ind w:right="224"/>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0.96</w:t>
            </w:r>
          </w:p>
        </w:tc>
      </w:tr>
      <w:tr>
        <w:trPr>
          <w:trHeight w:val="203"/>
        </w:trPr>
        <w:tc>
          <w:tcPr>
            <w:tcW w:w="4700" w:type="dxa"/>
            <w:vAlign w:val="bottom"/>
          </w:tcPr>
          <w:p>
            <w:pPr>
              <w:spacing w:after="0"/>
              <w:rPr>
                <w:sz w:val="20"/>
                <w:szCs w:val="20"/>
                <w:color w:val="auto"/>
              </w:rPr>
            </w:pPr>
            <w:r>
              <w:rPr>
                <w:rFonts w:ascii="Arial" w:cs="Arial" w:eastAsia="Arial" w:hAnsi="Arial"/>
                <w:sz w:val="16"/>
                <w:szCs w:val="16"/>
                <w:color w:val="auto"/>
              </w:rPr>
              <w:t>Weighted average number of common shares outstanding:</w:t>
            </w: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7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Basic</w:t>
            </w:r>
          </w:p>
        </w:tc>
        <w:tc>
          <w:tcPr>
            <w:tcW w:w="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32,985</w:t>
            </w: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32,952</w:t>
            </w:r>
          </w:p>
        </w:tc>
      </w:tr>
      <w:tr>
        <w:trPr>
          <w:trHeight w:val="206"/>
        </w:trPr>
        <w:tc>
          <w:tcPr>
            <w:tcW w:w="4700" w:type="dxa"/>
            <w:vAlign w:val="bottom"/>
          </w:tcPr>
          <w:p>
            <w:pPr>
              <w:ind w:left="100"/>
              <w:spacing w:after="0"/>
              <w:rPr>
                <w:sz w:val="20"/>
                <w:szCs w:val="20"/>
                <w:color w:val="auto"/>
              </w:rPr>
            </w:pPr>
            <w:r>
              <w:rPr>
                <w:rFonts w:ascii="Arial" w:cs="Arial" w:eastAsia="Arial" w:hAnsi="Arial"/>
                <w:sz w:val="16"/>
                <w:szCs w:val="16"/>
                <w:color w:val="auto"/>
              </w:rPr>
              <w:t>Diluted</w:t>
            </w: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33,190</w:t>
            </w: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33,306</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EVOLUTION PETROLEUM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43"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rPr>
              <w:t>Years Ended June 30,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4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80"/>
              <w:spacing w:after="0"/>
              <w:rPr>
                <w:sz w:val="20"/>
                <w:szCs w:val="20"/>
                <w:color w:val="auto"/>
              </w:rPr>
            </w:pPr>
            <w:r>
              <w:rPr>
                <w:rFonts w:ascii="Arial" w:cs="Arial" w:eastAsia="Arial" w:hAnsi="Arial"/>
                <w:sz w:val="16"/>
                <w:szCs w:val="16"/>
                <w:color w:val="auto"/>
              </w:rPr>
              <w:t>Net income (loss)</w:t>
            </w:r>
          </w:p>
        </w:tc>
        <w:tc>
          <w:tcPr>
            <w:tcW w:w="38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35,217</w:t>
            </w:r>
          </w:p>
        </w:tc>
        <w:tc>
          <w:tcPr>
            <w:tcW w:w="44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32,628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8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300"/>
              <w:spacing w:after="0"/>
              <w:rPr>
                <w:sz w:val="20"/>
                <w:szCs w:val="20"/>
                <w:color w:val="auto"/>
              </w:rPr>
            </w:pPr>
            <w:r>
              <w:rPr>
                <w:rFonts w:ascii="Arial" w:cs="Arial" w:eastAsia="Arial" w:hAnsi="Arial"/>
                <w:sz w:val="16"/>
                <w:szCs w:val="16"/>
                <w:color w:val="auto"/>
              </w:rPr>
              <w:t>Depletion, depreciation, and accretion</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14,273</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8,053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Stock-based compensation</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1,639</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300"/>
              <w:spacing w:after="0"/>
              <w:rPr>
                <w:sz w:val="20"/>
                <w:szCs w:val="20"/>
                <w:color w:val="auto"/>
              </w:rPr>
            </w:pPr>
            <w:r>
              <w:rPr>
                <w:rFonts w:ascii="Arial" w:cs="Arial" w:eastAsia="Arial" w:hAnsi="Arial"/>
                <w:sz w:val="16"/>
                <w:szCs w:val="16"/>
                <w:color w:val="auto"/>
              </w:rPr>
              <w:t>Settlement of asset retirement obligations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Deferred income taxes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300"/>
              <w:spacing w:after="0"/>
              <w:rPr>
                <w:sz w:val="20"/>
                <w:szCs w:val="20"/>
                <w:color w:val="auto"/>
              </w:rPr>
            </w:pPr>
            <w:r>
              <w:rPr>
                <w:rFonts w:ascii="Arial" w:cs="Arial" w:eastAsia="Arial" w:hAnsi="Arial"/>
                <w:sz w:val="16"/>
                <w:szCs w:val="16"/>
                <w:color w:val="auto"/>
              </w:rPr>
              <w:t>Unrealized (gain) loss on derivative contracts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(1,994)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Accrued settlements on derivative contracts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30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Changes in operating assets and liabilities: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400"/>
              <w:spacing w:after="0"/>
              <w:rPr>
                <w:sz w:val="20"/>
                <w:szCs w:val="20"/>
                <w:color w:val="auto"/>
              </w:rPr>
            </w:pPr>
            <w:r>
              <w:rPr>
                <w:rFonts w:ascii="Arial" w:cs="Arial" w:eastAsia="Arial" w:hAnsi="Arial"/>
                <w:sz w:val="16"/>
                <w:szCs w:val="16"/>
                <w:color w:val="auto"/>
              </w:rPr>
              <w:t>Receivables from crude oil, natural gas, and natural gas liquids revenues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18,441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(11,427)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400"/>
              <w:spacing w:after="0"/>
              <w:rPr>
                <w:sz w:val="20"/>
                <w:szCs w:val="20"/>
                <w:color w:val="auto"/>
              </w:rPr>
            </w:pPr>
            <w:r>
              <w:rPr>
                <w:rFonts w:ascii="Arial" w:cs="Arial" w:eastAsia="Arial" w:hAnsi="Arial"/>
                <w:sz w:val="16"/>
                <w:szCs w:val="16"/>
                <w:color w:val="auto"/>
              </w:rPr>
              <w:t>Accounts payable and accrued liabilities and other</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(13,489)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18,516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State and federal taxes payable</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0" w:type="dxa"/>
            <w:vAlign w:val="bottom"/>
            <w:tcBorders>
              <w:bottom w:val="single" w:sz="8" w:color="CCEEFF"/>
            </w:tcBorders>
          </w:tcPr>
          <w:p>
            <w:pPr>
              <w:ind w:left="620"/>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51,272</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52,460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300"/>
              <w:spacing w:after="0"/>
              <w:rPr>
                <w:sz w:val="20"/>
                <w:szCs w:val="20"/>
                <w:color w:val="auto"/>
              </w:rPr>
            </w:pPr>
            <w:r>
              <w:rPr>
                <w:rFonts w:ascii="Arial" w:cs="Arial" w:eastAsia="Arial" w:hAnsi="Arial"/>
                <w:sz w:val="16"/>
                <w:szCs w:val="16"/>
                <w:color w:val="auto"/>
              </w:rPr>
              <w:t>Acquisition of oil and natural gas properties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(53,342)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Capital expenditures for oil and natural gas properties</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(6,961)</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(6,992)</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(54,873)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300"/>
              <w:spacing w:after="0"/>
              <w:rPr>
                <w:sz w:val="20"/>
                <w:szCs w:val="20"/>
                <w:color w:val="auto"/>
              </w:rPr>
            </w:pPr>
            <w:r>
              <w:rPr>
                <w:rFonts w:ascii="Arial" w:cs="Arial" w:eastAsia="Arial" w:hAnsi="Arial"/>
                <w:sz w:val="16"/>
                <w:szCs w:val="16"/>
                <w:color w:val="auto"/>
              </w:rPr>
              <w:t>Common stock dividends paid</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(16,106)</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(11,796)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Common stock repurchases, including stock surrendered for tax withholding</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(4,170)</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300"/>
              <w:spacing w:after="0"/>
              <w:rPr>
                <w:sz w:val="20"/>
                <w:szCs w:val="20"/>
                <w:color w:val="auto"/>
              </w:rPr>
            </w:pPr>
            <w:r>
              <w:rPr>
                <w:rFonts w:ascii="Arial" w:cs="Arial" w:eastAsia="Arial" w:hAnsi="Arial"/>
                <w:sz w:val="16"/>
                <w:szCs w:val="16"/>
                <w:color w:val="auto"/>
              </w:rPr>
              <w:t>Borrowings under senior secured credit facility</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Repayments of senior secured credit facility</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(21,250)</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Net cash (used in) provided by financing activities</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(41,526)</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Net increase (decrease) in cash and cash equivalents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2,754</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Cash and cash equivalents, beginning of period</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8,280</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Cash and cash equivalents, end of period</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11,034</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80"/>
              <w:spacing w:after="0"/>
              <w:rPr>
                <w:sz w:val="20"/>
                <w:szCs w:val="20"/>
                <w:color w:val="auto"/>
              </w:rPr>
            </w:pPr>
            <w:r>
              <w:rPr>
                <w:rFonts w:ascii="Arial" w:cs="Arial" w:eastAsia="Arial" w:hAnsi="Arial"/>
                <w:sz w:val="16"/>
                <w:szCs w:val="16"/>
                <w:color w:val="auto"/>
              </w:rPr>
              <w:t>Cash paid for interest on senior secured credit facility</w:t>
            </w:r>
          </w:p>
        </w:tc>
        <w:tc>
          <w:tcPr>
            <w:tcW w:w="38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498</w:t>
            </w:r>
          </w:p>
        </w:tc>
        <w:tc>
          <w:tcPr>
            <w:tcW w:w="44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Cash paid for income taxes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11,876</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80"/>
              <w:spacing w:after="0"/>
              <w:rPr>
                <w:sz w:val="20"/>
                <w:szCs w:val="20"/>
                <w:color w:val="auto"/>
              </w:rPr>
            </w:pPr>
            <w:r>
              <w:rPr>
                <w:rFonts w:ascii="Arial" w:cs="Arial" w:eastAsia="Arial" w:hAnsi="Arial"/>
                <w:sz w:val="16"/>
                <w:szCs w:val="16"/>
                <w:color w:val="auto"/>
              </w:rPr>
              <w:t>Cash received from income tax refunds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3,223</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00" w:type="dxa"/>
            <w:vAlign w:val="bottom"/>
          </w:tcPr>
          <w:p>
            <w:pPr>
              <w:spacing w:after="0"/>
              <w:rPr>
                <w:sz w:val="20"/>
                <w:szCs w:val="20"/>
                <w:color w:val="auto"/>
              </w:rPr>
            </w:pPr>
            <w:r>
              <w:rPr>
                <w:rFonts w:ascii="Arial" w:cs="Arial" w:eastAsia="Arial" w:hAnsi="Arial"/>
                <w:sz w:val="16"/>
                <w:szCs w:val="16"/>
                <w:b w:val="1"/>
                <w:bCs w:val="1"/>
                <w:color w:val="auto"/>
              </w:rPr>
              <w:t>Non-cash investing and financing transactions: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Increase (decrease) in accrued capital expenditures for oil and natural gas properties</w:t>
            </w:r>
          </w:p>
        </w:tc>
        <w:tc>
          <w:tcPr>
            <w:tcW w:w="38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w:t>
            </w:r>
          </w:p>
        </w:tc>
        <w:tc>
          <w:tcPr>
            <w:tcW w:w="440" w:type="dxa"/>
            <w:vAlign w:val="bottom"/>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400" w:type="dxa"/>
            <w:vAlign w:val="bottom"/>
          </w:tcPr>
          <w:p>
            <w:pPr>
              <w:ind w:left="80"/>
              <w:spacing w:after="0"/>
              <w:rPr>
                <w:sz w:val="20"/>
                <w:szCs w:val="20"/>
                <w:color w:val="auto"/>
              </w:rPr>
            </w:pPr>
            <w:r>
              <w:rPr>
                <w:rFonts w:ascii="Arial" w:cs="Arial" w:eastAsia="Arial" w:hAnsi="Arial"/>
                <w:sz w:val="16"/>
                <w:szCs w:val="16"/>
                <w:color w:val="auto"/>
                <w:w w:val="94"/>
              </w:rPr>
              <w:t>Oil and natural gas property costs attributable to the recognition of asset retirement obligations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2,015</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7,807</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6" w:name="page57"/>
    <w:bookmarkEnd w:id="5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59"/>
        <w:spacing w:after="0" w:line="442" w:lineRule="auto"/>
        <w:rPr>
          <w:sz w:val="20"/>
          <w:szCs w:val="20"/>
          <w:color w:val="auto"/>
        </w:rPr>
      </w:pPr>
      <w:r>
        <w:rPr>
          <w:rFonts w:ascii="Arial" w:cs="Arial" w:eastAsia="Arial" w:hAnsi="Arial"/>
          <w:sz w:val="18"/>
          <w:szCs w:val="18"/>
          <w:b w:val="1"/>
          <w:bCs w:val="1"/>
          <w:color w:val="auto"/>
        </w:rPr>
        <w:t>EVOLUTION PETROLEUM CORPORATION CONSOLIDATED STATEMENTS OF CHANGES IN STOCKHOLDERS’ EQUITY (In thousands)</w:t>
      </w:r>
    </w:p>
    <w:p>
      <w:pPr>
        <w:spacing w:after="0" w:line="31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1700" w:type="dxa"/>
            <w:vAlign w:val="bottom"/>
            <w:gridSpan w:val="4"/>
            <w:vMerge w:val="restart"/>
          </w:tcPr>
          <w:p>
            <w:pPr>
              <w:jc w:val="right"/>
              <w:ind w:right="308"/>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4"/>
              </w:rPr>
              <w:t>Retained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7"/>
              </w:rPr>
              <w:t>Treasury</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3220" w:type="dxa"/>
            <w:vAlign w:val="bottom"/>
          </w:tcPr>
          <w:p>
            <w:pPr>
              <w:spacing w:after="0"/>
              <w:rPr>
                <w:sz w:val="14"/>
                <w:szCs w:val="14"/>
                <w:color w:val="auto"/>
              </w:rPr>
            </w:pPr>
          </w:p>
        </w:tc>
        <w:tc>
          <w:tcPr>
            <w:tcW w:w="1700" w:type="dxa"/>
            <w:vAlign w:val="bottom"/>
            <w:tcBorders>
              <w:bottom w:val="single" w:sz="8" w:color="auto"/>
            </w:tcBorders>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2"/>
        </w:trPr>
        <w:tc>
          <w:tcPr>
            <w:tcW w:w="322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3"/>
              </w:rPr>
              <w:t>Par Value</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Capital</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w w:val="93"/>
              </w:rPr>
              <w:t>Earnings</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Stock</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48"/>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32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Balances at June 30, 2021</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33,515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42,541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12,020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54,595</w:t>
            </w:r>
          </w:p>
        </w:tc>
        <w:tc>
          <w:tcPr>
            <w:tcW w:w="0" w:type="dxa"/>
            <w:vAlign w:val="bottom"/>
          </w:tcPr>
          <w:p>
            <w:pPr>
              <w:spacing w:after="0"/>
              <w:rPr>
                <w:sz w:val="1"/>
                <w:szCs w:val="1"/>
                <w:color w:val="auto"/>
              </w:rPr>
            </w:pPr>
          </w:p>
        </w:tc>
      </w:tr>
      <w:tr>
        <w:trPr>
          <w:trHeight w:val="148"/>
        </w:trPr>
        <w:tc>
          <w:tcPr>
            <w:tcW w:w="3220" w:type="dxa"/>
            <w:vAlign w:val="bottom"/>
          </w:tcPr>
          <w:p>
            <w:pPr>
              <w:spacing w:after="0" w:line="149" w:lineRule="exact"/>
              <w:rPr>
                <w:sz w:val="20"/>
                <w:szCs w:val="20"/>
                <w:color w:val="auto"/>
              </w:rPr>
            </w:pPr>
            <w:r>
              <w:rPr>
                <w:rFonts w:ascii="Arial" w:cs="Arial" w:eastAsia="Arial" w:hAnsi="Arial"/>
                <w:sz w:val="14"/>
                <w:szCs w:val="14"/>
                <w:color w:val="auto"/>
              </w:rPr>
              <w:t>Issuance of restricted common stock</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336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Forfeitures of restricted stock</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220" w:type="dxa"/>
            <w:vAlign w:val="bottom"/>
          </w:tcPr>
          <w:p>
            <w:pPr>
              <w:spacing w:after="0" w:line="130" w:lineRule="exact"/>
              <w:rPr>
                <w:sz w:val="20"/>
                <w:szCs w:val="20"/>
                <w:color w:val="auto"/>
              </w:rPr>
            </w:pPr>
            <w:r>
              <w:rPr>
                <w:rFonts w:ascii="Arial" w:cs="Arial" w:eastAsia="Arial" w:hAnsi="Arial"/>
                <w:sz w:val="14"/>
                <w:szCs w:val="14"/>
                <w:color w:val="auto"/>
              </w:rPr>
              <w:t>Common stock repurchases, including stock</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20" w:type="dxa"/>
            <w:vAlign w:val="bottom"/>
          </w:tcPr>
          <w:p>
            <w:pPr>
              <w:spacing w:after="0"/>
              <w:rPr>
                <w:sz w:val="20"/>
                <w:szCs w:val="20"/>
                <w:color w:val="auto"/>
              </w:rPr>
            </w:pPr>
            <w:r>
              <w:rPr>
                <w:rFonts w:ascii="Arial" w:cs="Arial" w:eastAsia="Arial" w:hAnsi="Arial"/>
                <w:sz w:val="14"/>
                <w:szCs w:val="14"/>
                <w:color w:val="auto"/>
              </w:rPr>
              <w:t>surrendered for tax withholding</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9"/>
        </w:trPr>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Retirements of treasury stock</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22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32,628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32,628</w:t>
            </w:r>
          </w:p>
        </w:tc>
        <w:tc>
          <w:tcPr>
            <w:tcW w:w="0" w:type="dxa"/>
            <w:vAlign w:val="bottom"/>
          </w:tcPr>
          <w:p>
            <w:pPr>
              <w:spacing w:after="0"/>
              <w:rPr>
                <w:sz w:val="1"/>
                <w:szCs w:val="1"/>
                <w:color w:val="auto"/>
              </w:rPr>
            </w:pPr>
          </w:p>
        </w:tc>
      </w:tr>
      <w:tr>
        <w:trPr>
          <w:trHeight w:val="148"/>
        </w:trPr>
        <w:tc>
          <w:tcPr>
            <w:tcW w:w="322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Common stock dividends paid</w:t>
            </w: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(11,796)</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(11,796)</w:t>
            </w:r>
          </w:p>
        </w:tc>
        <w:tc>
          <w:tcPr>
            <w:tcW w:w="0" w:type="dxa"/>
            <w:vAlign w:val="bottom"/>
          </w:tcPr>
          <w:p>
            <w:pPr>
              <w:spacing w:after="0"/>
              <w:rPr>
                <w:sz w:val="1"/>
                <w:szCs w:val="1"/>
                <w:color w:val="auto"/>
              </w:rPr>
            </w:pPr>
          </w:p>
        </w:tc>
      </w:tr>
      <w:tr>
        <w:trPr>
          <w:trHeight w:val="142"/>
        </w:trPr>
        <w:tc>
          <w:tcPr>
            <w:tcW w:w="32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Balances at June 30, 2022</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33,471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42,629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32,852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75,514</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Issuance of restricted common stock</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20" w:type="dxa"/>
            <w:vAlign w:val="bottom"/>
            <w:vMerge w:val="continue"/>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4"/>
                <w:szCs w:val="14"/>
                <w:color w:val="auto"/>
              </w:rPr>
              <w:t>476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Forfeitures of restricted stock</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220" w:type="dxa"/>
            <w:vAlign w:val="bottom"/>
          </w:tcPr>
          <w:p>
            <w:pPr>
              <w:spacing w:after="0" w:line="130" w:lineRule="exact"/>
              <w:rPr>
                <w:sz w:val="20"/>
                <w:szCs w:val="20"/>
                <w:color w:val="auto"/>
              </w:rPr>
            </w:pPr>
            <w:r>
              <w:rPr>
                <w:rFonts w:ascii="Arial" w:cs="Arial" w:eastAsia="Arial" w:hAnsi="Arial"/>
                <w:sz w:val="14"/>
                <w:szCs w:val="14"/>
                <w:color w:val="auto"/>
              </w:rPr>
              <w:t>Common stock repurchases, including stock</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20" w:type="dxa"/>
            <w:vAlign w:val="bottom"/>
          </w:tcPr>
          <w:p>
            <w:pPr>
              <w:spacing w:after="0"/>
              <w:rPr>
                <w:sz w:val="20"/>
                <w:szCs w:val="20"/>
                <w:color w:val="auto"/>
              </w:rPr>
            </w:pPr>
            <w:r>
              <w:rPr>
                <w:rFonts w:ascii="Arial" w:cs="Arial" w:eastAsia="Arial" w:hAnsi="Arial"/>
                <w:sz w:val="14"/>
                <w:szCs w:val="14"/>
                <w:color w:val="auto"/>
              </w:rPr>
              <w:t>surrendered for tax withholding</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(4,170)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(4,170)</w:t>
            </w: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Retirements of treasury stock</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(4,169)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4,170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22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1,639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1,639</w:t>
            </w: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35,217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35,217</w:t>
            </w:r>
          </w:p>
        </w:tc>
        <w:tc>
          <w:tcPr>
            <w:tcW w:w="0" w:type="dxa"/>
            <w:vAlign w:val="bottom"/>
          </w:tcPr>
          <w:p>
            <w:pPr>
              <w:spacing w:after="0"/>
              <w:rPr>
                <w:sz w:val="1"/>
                <w:szCs w:val="1"/>
                <w:color w:val="auto"/>
              </w:rPr>
            </w:pPr>
          </w:p>
        </w:tc>
      </w:tr>
      <w:tr>
        <w:trPr>
          <w:trHeight w:val="149"/>
        </w:trPr>
        <w:tc>
          <w:tcPr>
            <w:tcW w:w="322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Common stock dividends paid</w:t>
            </w: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(16,106)</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(16,106)</w:t>
            </w:r>
          </w:p>
        </w:tc>
        <w:tc>
          <w:tcPr>
            <w:tcW w:w="0" w:type="dxa"/>
            <w:vAlign w:val="bottom"/>
          </w:tcPr>
          <w:p>
            <w:pPr>
              <w:spacing w:after="0"/>
              <w:rPr>
                <w:sz w:val="1"/>
                <w:szCs w:val="1"/>
                <w:color w:val="auto"/>
              </w:rPr>
            </w:pPr>
          </w:p>
        </w:tc>
      </w:tr>
      <w:tr>
        <w:trPr>
          <w:trHeight w:val="142"/>
        </w:trPr>
        <w:tc>
          <w:tcPr>
            <w:tcW w:w="322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Balances at June 30, 2023</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33,248</w:t>
            </w:r>
          </w:p>
        </w:tc>
        <w:tc>
          <w:tcPr>
            <w:tcW w:w="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40,098</w:t>
            </w:r>
          </w:p>
        </w:tc>
        <w:tc>
          <w:tcPr>
            <w:tcW w:w="1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51,963</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92,094</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7" w:name="page58"/>
    <w:bookmarkEnd w:id="5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EVOLUTION PETROLEUM CORPORATION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Summary of Significant Events and Accounting Policies</w:t>
      </w:r>
    </w:p>
    <w:p>
      <w:pPr>
        <w:spacing w:after="0" w:line="229"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b w:val="1"/>
          <w:bCs w:val="1"/>
          <w:i w:val="1"/>
          <w:iCs w:val="1"/>
          <w:color w:val="auto"/>
        </w:rPr>
        <w:t xml:space="preserve">Nature of Operations. </w:t>
      </w:r>
      <w:r>
        <w:rPr>
          <w:rFonts w:ascii="Arial" w:cs="Arial" w:eastAsia="Arial" w:hAnsi="Arial"/>
          <w:sz w:val="18"/>
          <w:szCs w:val="18"/>
          <w:color w:val="auto"/>
        </w:rPr>
        <w:t>Evolution Petroleum Corporation (“Evolution,” and together with its consolidated subsidiaries,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is an independent energy company focused on maximizing returns to stockholders through the ownership of and investment in onshore oil and natural gas properties in the United States. The Company’s long-term goal is to maximize total shareholder return from a diversified portfolio of long-life oil and natural gas properties built through acquisitions and through selective development opportunities, production enhancement, and other exploitation efforts on its oil and natural gas properties.</w:t>
      </w:r>
    </w:p>
    <w:p>
      <w:pPr>
        <w:spacing w:after="0" w:line="192" w:lineRule="exact"/>
        <w:rPr>
          <w:sz w:val="20"/>
          <w:szCs w:val="20"/>
          <w:color w:val="auto"/>
        </w:rPr>
      </w:pPr>
    </w:p>
    <w:p>
      <w:pPr>
        <w:ind w:left="60" w:right="79"/>
        <w:spacing w:after="0" w:line="254" w:lineRule="auto"/>
        <w:rPr>
          <w:sz w:val="20"/>
          <w:szCs w:val="20"/>
          <w:color w:val="auto"/>
        </w:rPr>
      </w:pPr>
      <w:r>
        <w:rPr>
          <w:rFonts w:ascii="Arial" w:cs="Arial" w:eastAsia="Arial" w:hAnsi="Arial"/>
          <w:sz w:val="17"/>
          <w:szCs w:val="17"/>
          <w:color w:val="auto"/>
        </w:rPr>
        <w:t xml:space="preserve">The Company’s producing properties consist of non-operated interests in the following areas: </w:t>
      </w:r>
      <w:r>
        <w:rPr>
          <w:rFonts w:ascii="Arial" w:cs="Arial" w:eastAsia="Arial" w:hAnsi="Arial"/>
          <w:sz w:val="17"/>
          <w:szCs w:val="17"/>
          <w:color w:val="333333"/>
        </w:rPr>
        <w:t>the Jonah</w:t>
      </w:r>
      <w:r>
        <w:rPr>
          <w:rFonts w:ascii="Arial" w:cs="Arial" w:eastAsia="Arial" w:hAnsi="Arial"/>
          <w:sz w:val="17"/>
          <w:szCs w:val="17"/>
          <w:color w:val="auto"/>
        </w:rPr>
        <w:t xml:space="preserve"> Field in Sublette County, Wyoming, a natural gas and natural gas liquids producing field; the Williston Basin in North Dakota, producing oil and natural gas properties; the Barnett Shale located in North Texas, natural gas producing properties; the Hamilton Dome Field located in Hot Springs County, Wyoming, a secondary recovery field utilizing water injection wells to pressurize the reservoir; the Delhi Holt-Bryant Unit in the Delhi Field in Northeast Louisiana, a CO</w:t>
      </w:r>
      <w:r>
        <w:rPr>
          <w:rFonts w:ascii="Arial" w:cs="Arial" w:eastAsia="Arial" w:hAnsi="Arial"/>
          <w:sz w:val="25"/>
          <w:szCs w:val="25"/>
          <w:color w:val="auto"/>
          <w:vertAlign w:val="subscript"/>
        </w:rPr>
        <w:t>2</w:t>
      </w:r>
      <w:r>
        <w:rPr>
          <w:rFonts w:ascii="Arial" w:cs="Arial" w:eastAsia="Arial" w:hAnsi="Arial"/>
          <w:sz w:val="17"/>
          <w:szCs w:val="17"/>
          <w:color w:val="auto"/>
        </w:rPr>
        <w:t xml:space="preserve"> enhanced oil recovery project; as well as small overriding royalty interests in four onshore Texas wells.</w:t>
      </w:r>
    </w:p>
    <w:p>
      <w:pPr>
        <w:spacing w:after="0" w:line="187" w:lineRule="exact"/>
        <w:rPr>
          <w:sz w:val="20"/>
          <w:szCs w:val="20"/>
          <w:color w:val="auto"/>
        </w:rPr>
      </w:pPr>
    </w:p>
    <w:p>
      <w:pPr>
        <w:ind w:left="60" w:right="179"/>
        <w:spacing w:after="0" w:line="291" w:lineRule="auto"/>
        <w:rPr>
          <w:sz w:val="20"/>
          <w:szCs w:val="20"/>
          <w:color w:val="auto"/>
        </w:rPr>
      </w:pPr>
      <w:r>
        <w:rPr>
          <w:rFonts w:ascii="Arial" w:cs="Arial" w:eastAsia="Arial" w:hAnsi="Arial"/>
          <w:sz w:val="16"/>
          <w:szCs w:val="16"/>
          <w:b w:val="1"/>
          <w:bCs w:val="1"/>
          <w:i w:val="1"/>
          <w:iCs w:val="1"/>
          <w:color w:val="auto"/>
        </w:rPr>
        <w:t xml:space="preserve">Principles of Consolidation and Reporting. </w:t>
      </w:r>
      <w:r>
        <w:rPr>
          <w:rFonts w:ascii="Arial" w:cs="Arial" w:eastAsia="Arial" w:hAnsi="Arial"/>
          <w:sz w:val="16"/>
          <w:szCs w:val="16"/>
          <w:color w:val="auto"/>
        </w:rPr>
        <w:t>The consolidated financial statements include the accounts of Evolution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Petroleum Corporation and its wholly-owned subsidiaries. All significant intercompany transactions have been eliminated in consolidation. The consolidated financial statements for the previous year may include certain reclassifications to conform to the current presentation. To conform with the current year presentation, “</w:t>
      </w:r>
      <w:r>
        <w:rPr>
          <w:rFonts w:ascii="Arial" w:cs="Arial" w:eastAsia="Arial" w:hAnsi="Arial"/>
          <w:sz w:val="16"/>
          <w:szCs w:val="16"/>
          <w:i w:val="1"/>
          <w:iCs w:val="1"/>
          <w:color w:val="auto"/>
        </w:rPr>
        <w:t>Other receivables</w:t>
      </w:r>
      <w:r>
        <w:rPr>
          <w:rFonts w:ascii="Arial" w:cs="Arial" w:eastAsia="Arial" w:hAnsi="Arial"/>
          <w:sz w:val="16"/>
          <w:szCs w:val="16"/>
          <w:color w:val="auto"/>
        </w:rPr>
        <w:t>” disclosed in Footnote 14, “</w:t>
      </w:r>
      <w:r>
        <w:rPr>
          <w:rFonts w:ascii="Arial" w:cs="Arial" w:eastAsia="Arial" w:hAnsi="Arial"/>
          <w:sz w:val="16"/>
          <w:szCs w:val="16"/>
          <w:i w:val="1"/>
          <w:iCs w:val="1"/>
          <w:color w:val="auto"/>
        </w:rPr>
        <w:t>Additional Financial Information</w:t>
      </w:r>
      <w:r>
        <w:rPr>
          <w:rFonts w:ascii="Arial" w:cs="Arial" w:eastAsia="Arial" w:hAnsi="Arial"/>
          <w:sz w:val="16"/>
          <w:szCs w:val="16"/>
          <w:color w:val="auto"/>
        </w:rPr>
        <w:t xml:space="preserve">” is included with </w:t>
      </w:r>
      <w:r>
        <w:rPr>
          <w:rFonts w:ascii="Arial" w:cs="Arial" w:eastAsia="Arial" w:hAnsi="Arial"/>
          <w:sz w:val="16"/>
          <w:szCs w:val="16"/>
          <w:i w:val="1"/>
          <w:iCs w:val="1"/>
          <w:color w:val="auto"/>
        </w:rPr>
        <w:t>“Prepaid expenses and other current assets</w:t>
      </w:r>
      <w:r>
        <w:rPr>
          <w:rFonts w:ascii="Arial" w:cs="Arial" w:eastAsia="Arial" w:hAnsi="Arial"/>
          <w:sz w:val="16"/>
          <w:szCs w:val="16"/>
          <w:color w:val="auto"/>
        </w:rPr>
        <w:t>” instead of “</w:t>
      </w:r>
      <w:r>
        <w:rPr>
          <w:rFonts w:ascii="Arial" w:cs="Arial" w:eastAsia="Arial" w:hAnsi="Arial"/>
          <w:sz w:val="16"/>
          <w:szCs w:val="16"/>
          <w:i w:val="1"/>
          <w:iCs w:val="1"/>
          <w:color w:val="auto"/>
        </w:rPr>
        <w:t>Receivables from crude oil, natural gas, and natural gas liquids revenues</w:t>
      </w:r>
      <w:r>
        <w:rPr>
          <w:rFonts w:ascii="Arial" w:cs="Arial" w:eastAsia="Arial" w:hAnsi="Arial"/>
          <w:sz w:val="16"/>
          <w:szCs w:val="16"/>
          <w:color w:val="auto"/>
        </w:rPr>
        <w:t>” at June 30, 2022 on the consolidated balance sheets. This reclassification has no impact on previously reported net income or stockholders’ equity.</w:t>
      </w:r>
    </w:p>
    <w:p>
      <w:pPr>
        <w:spacing w:after="0" w:line="166" w:lineRule="exact"/>
        <w:rPr>
          <w:sz w:val="20"/>
          <w:szCs w:val="20"/>
          <w:color w:val="auto"/>
        </w:rPr>
      </w:pPr>
    </w:p>
    <w:p>
      <w:pPr>
        <w:ind w:left="60" w:right="199"/>
        <w:spacing w:after="0" w:line="279" w:lineRule="auto"/>
        <w:rPr>
          <w:sz w:val="20"/>
          <w:szCs w:val="20"/>
          <w:color w:val="auto"/>
        </w:rPr>
      </w:pPr>
      <w:r>
        <w:rPr>
          <w:rFonts w:ascii="Arial" w:cs="Arial" w:eastAsia="Arial" w:hAnsi="Arial"/>
          <w:sz w:val="17"/>
          <w:szCs w:val="17"/>
          <w:b w:val="1"/>
          <w:bCs w:val="1"/>
          <w:i w:val="1"/>
          <w:iCs w:val="1"/>
          <w:color w:val="auto"/>
        </w:rPr>
        <w:t xml:space="preserve">Risk and Uncertainties. </w:t>
      </w:r>
      <w:r>
        <w:rPr>
          <w:rFonts w:ascii="Arial" w:cs="Arial" w:eastAsia="Arial" w:hAnsi="Arial"/>
          <w:sz w:val="17"/>
          <w:szCs w:val="17"/>
          <w:color w:val="auto"/>
        </w:rPr>
        <w:t>The Company’s oil and natural gas interests are operated by third-party operators and involve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third-party working interest owners. As a result, the Company has a limited ability to influence the operation or future development of such properties. However, the Company is proactive with its third-party operators to review capital projects and related spending and present alternative plans as appropriate.</w:t>
      </w:r>
    </w:p>
    <w:p>
      <w:pPr>
        <w:spacing w:after="0" w:line="171" w:lineRule="exact"/>
        <w:rPr>
          <w:sz w:val="20"/>
          <w:szCs w:val="20"/>
          <w:color w:val="auto"/>
        </w:rPr>
      </w:pPr>
    </w:p>
    <w:p>
      <w:pPr>
        <w:ind w:left="60" w:right="179"/>
        <w:spacing w:after="0" w:line="286" w:lineRule="auto"/>
        <w:rPr>
          <w:sz w:val="20"/>
          <w:szCs w:val="20"/>
          <w:color w:val="auto"/>
        </w:rPr>
      </w:pPr>
      <w:r>
        <w:rPr>
          <w:rFonts w:ascii="Arial" w:cs="Arial" w:eastAsia="Arial" w:hAnsi="Arial"/>
          <w:sz w:val="16"/>
          <w:szCs w:val="16"/>
          <w:b w:val="1"/>
          <w:bCs w:val="1"/>
          <w:i w:val="1"/>
          <w:iCs w:val="1"/>
          <w:color w:val="auto"/>
        </w:rPr>
        <w:t xml:space="preserve">Use of Estimates. </w:t>
      </w:r>
      <w:r>
        <w:rPr>
          <w:rFonts w:ascii="Arial" w:cs="Arial" w:eastAsia="Arial" w:hAnsi="Arial"/>
          <w:sz w:val="16"/>
          <w:szCs w:val="16"/>
          <w:color w:val="auto"/>
        </w:rPr>
        <w:t>The preparation of financial statements in conformity with generally accepted accounting principles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United States requires the Company to make estimates and assumptions that affect the reported amounts of assets and liabilities and the disclosure of contingent assets and liabilities, if any, at the date of the consolidated financial statements and the reported amounts of revenues and expenses during the respective reporting periods. Significant estimates include</w:t>
      </w:r>
    </w:p>
    <w:p>
      <w:pPr>
        <w:spacing w:after="0" w:line="1" w:lineRule="exact"/>
        <w:rPr>
          <w:sz w:val="20"/>
          <w:szCs w:val="20"/>
          <w:color w:val="auto"/>
        </w:rPr>
      </w:pPr>
    </w:p>
    <w:p>
      <w:pPr>
        <w:ind w:left="60" w:right="199" w:hanging="10"/>
        <w:spacing w:after="0" w:line="286" w:lineRule="auto"/>
        <w:tabs>
          <w:tab w:leader="none" w:pos="305"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reserve quantities and estimated future cash flows associated with proved reserves, which may significantly impact depletion expense and potential impairments of oil and natural gas properties, (b) asset retirement obligations, (c) stock-based compensation, (d) fair values of derivative contract assets and liabilities, (e) income taxes and the valuation of deferred income tax assets, (f) commitments and contingencies, and (g) accruals of crude oil, natural gas, and natural gas liquids (“NGL”) revenues and expenses. The Company analyzes estimates and judgements based on historical experience and various other assumptions and information that are believed to be reasonable. Estimates and assumptions about future events and their effects cannot be predicted with certainty and, accordingly, these estimates may change as additional information is obtained, as new events occur, and as the Company’s environment changes. Actual results may differ from the estimates and assumptions used in the preparation of the Company’s consolidated financial statements.</w:t>
      </w:r>
    </w:p>
    <w:p>
      <w:pPr>
        <w:spacing w:after="0" w:line="172"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The Company considers all highly liquid investments, with original maturities of 90 days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less when purchased, to be cash and cash equivalents.</w:t>
      </w:r>
    </w:p>
    <w:p>
      <w:pPr>
        <w:spacing w:after="0" w:line="170" w:lineRule="exact"/>
        <w:rPr>
          <w:sz w:val="20"/>
          <w:szCs w:val="20"/>
          <w:color w:val="auto"/>
        </w:rPr>
      </w:pPr>
    </w:p>
    <w:p>
      <w:pPr>
        <w:ind w:left="60" w:right="619"/>
        <w:spacing w:after="0" w:line="342" w:lineRule="auto"/>
        <w:rPr>
          <w:sz w:val="20"/>
          <w:szCs w:val="20"/>
          <w:color w:val="auto"/>
        </w:rPr>
      </w:pPr>
      <w:r>
        <w:rPr>
          <w:rFonts w:ascii="Arial" w:cs="Arial" w:eastAsia="Arial" w:hAnsi="Arial"/>
          <w:sz w:val="16"/>
          <w:szCs w:val="16"/>
          <w:b w:val="1"/>
          <w:bCs w:val="1"/>
          <w:i w:val="1"/>
          <w:iCs w:val="1"/>
          <w:color w:val="auto"/>
        </w:rPr>
        <w:t xml:space="preserve">Accounts Receivable and Allowance for Doubtful Accounts. </w:t>
      </w:r>
      <w:r>
        <w:rPr>
          <w:rFonts w:ascii="Arial" w:cs="Arial" w:eastAsia="Arial" w:hAnsi="Arial"/>
          <w:sz w:val="16"/>
          <w:szCs w:val="16"/>
          <w:color w:val="auto"/>
        </w:rPr>
        <w:t>Accounts receivable consist of accrued hydrocarbon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revenues due under normal trade terms, generally requiring payment within 30 to 60 days of production, and other</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EVOLUTION PETROLEUM CORPORATION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60" w:right="99"/>
        <w:spacing w:after="0" w:line="275" w:lineRule="auto"/>
        <w:rPr>
          <w:sz w:val="20"/>
          <w:szCs w:val="20"/>
          <w:color w:val="auto"/>
        </w:rPr>
      </w:pPr>
      <w:r>
        <w:rPr>
          <w:rFonts w:ascii="Arial" w:cs="Arial" w:eastAsia="Arial" w:hAnsi="Arial"/>
          <w:sz w:val="17"/>
          <w:szCs w:val="17"/>
          <w:color w:val="auto"/>
        </w:rPr>
        <w:t>miscellaneous receivables. No interest is charged on past-due balances. Payments made on accounts receivable are applied to the earliest unpaid items. The Company establishes provisions for losses on accounts receivable if it is determined that collection of all or a part of an outstanding balance is not probable. Collectability is reviewed regularly and an allowance is established or adjusted, as necessary, using the specific identification method. As of June 30, 2023 and 2022, no allowance for doubtful accounts was considered necessary.</w:t>
      </w:r>
    </w:p>
    <w:p>
      <w:pPr>
        <w:spacing w:after="0" w:line="176" w:lineRule="exact"/>
        <w:rPr>
          <w:sz w:val="20"/>
          <w:szCs w:val="20"/>
          <w:color w:val="auto"/>
        </w:rPr>
      </w:pPr>
    </w:p>
    <w:p>
      <w:pPr>
        <w:ind w:left="60" w:right="159"/>
        <w:spacing w:after="0" w:line="254" w:lineRule="auto"/>
        <w:rPr>
          <w:sz w:val="20"/>
          <w:szCs w:val="20"/>
          <w:color w:val="auto"/>
        </w:rPr>
      </w:pPr>
      <w:r>
        <w:rPr>
          <w:rFonts w:ascii="Arial" w:cs="Arial" w:eastAsia="Arial" w:hAnsi="Arial"/>
          <w:sz w:val="18"/>
          <w:szCs w:val="18"/>
          <w:b w:val="1"/>
          <w:bCs w:val="1"/>
          <w:i w:val="1"/>
          <w:iCs w:val="1"/>
          <w:color w:val="auto"/>
        </w:rPr>
        <w:t xml:space="preserve">Oil and Natural Gas Properties. </w:t>
      </w:r>
      <w:r>
        <w:rPr>
          <w:rFonts w:ascii="Arial" w:cs="Arial" w:eastAsia="Arial" w:hAnsi="Arial"/>
          <w:sz w:val="18"/>
          <w:szCs w:val="18"/>
          <w:color w:val="auto"/>
        </w:rPr>
        <w:t>The Company uses the full-cost method of accounting for its investments in oil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natural gas properties. Under this method of accounting, all costs incurred in the acquisition, exploration and development of oil and natural gas properties, including unproductive wells, are capitalized. This includes any internal costs that are directly related to property acquisition, exploration, and development activities but does not include any costs related to production, general corporate overhead, or similar activities. Gain or loss on the sale or other disposition of oil and natural gas properties is not recognized, unless the gain or loss would significantly alter the relationship between capitalized costs and proved reserves.</w:t>
      </w:r>
    </w:p>
    <w:p>
      <w:pPr>
        <w:spacing w:after="0" w:line="195"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The depreciable base for oil and natural gas properties includes the sum of all capitalized costs net of depletion, estimated future development costs, and asset retirement costs (net of salvage values) not included in oil and natural gas properties, less costs excluded from amortization. The depreciable base of oil and natural gas properties is amortized using the unit-of-production method over total proved reserves.</w:t>
      </w:r>
    </w:p>
    <w:p>
      <w:pPr>
        <w:spacing w:after="0" w:line="187"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color w:val="auto"/>
        </w:rPr>
        <w:t>The capitalized costs of the Company’s oil and natural gas properties, net of accumulated amortization and related deferred income taxes are subject to a full cost ceiling limitation in which the costs are not allowed to exceed their related estimated future net revenues discounted at 10%, net of tax considerations. Any excess over the full cost ceiling limitation is charged to expense as an impairment and is reflected as additional accumulated depletion, depreciation, and impairment or as a credit to oil and natural gas properties.</w:t>
      </w:r>
    </w:p>
    <w:p>
      <w:pPr>
        <w:spacing w:after="0" w:line="188"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Oil and natural gas properties include costs that are excluded from depletion and amortization, which represent investments in unproved and unevaluated properties and include non-producing leasehold, geologic and geophysical costs associated with leasehold or drilling interests, and exploration drilling costs. These costs are excluded until the project is evaluated and proved reserves are established or impairment is determined. As of June 30, 2023 and 2022, the Company did not have any costs excluded from depletion and amortization.</w:t>
      </w:r>
    </w:p>
    <w:p>
      <w:pPr>
        <w:spacing w:after="0" w:line="188" w:lineRule="exact"/>
        <w:rPr>
          <w:sz w:val="20"/>
          <w:szCs w:val="20"/>
          <w:color w:val="auto"/>
        </w:rPr>
      </w:pPr>
    </w:p>
    <w:p>
      <w:pPr>
        <w:ind w:left="60" w:right="99"/>
        <w:spacing w:after="0" w:line="289" w:lineRule="auto"/>
        <w:rPr>
          <w:sz w:val="20"/>
          <w:szCs w:val="20"/>
          <w:color w:val="auto"/>
        </w:rPr>
      </w:pPr>
      <w:r>
        <w:rPr>
          <w:rFonts w:ascii="Arial" w:cs="Arial" w:eastAsia="Arial" w:hAnsi="Arial"/>
          <w:sz w:val="16"/>
          <w:szCs w:val="16"/>
          <w:b w:val="1"/>
          <w:bCs w:val="1"/>
          <w:i w:val="1"/>
          <w:iCs w:val="1"/>
          <w:color w:val="auto"/>
        </w:rPr>
        <w:t xml:space="preserve">Other Property and Equipment. </w:t>
      </w:r>
      <w:r>
        <w:rPr>
          <w:rFonts w:ascii="Arial" w:cs="Arial" w:eastAsia="Arial" w:hAnsi="Arial"/>
          <w:sz w:val="16"/>
          <w:szCs w:val="16"/>
          <w:color w:val="auto"/>
        </w:rPr>
        <w:t>Other property and equipment includes building leasehold improvements, data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processing and telecommunications equipment, office furniture, and office equipment. These items are recorded at cost and depreciated over expected lives of the individual assets or group of assets, which range from three to seven years. The assets are depreciated using the straight-line method. Realization of the carrying value of other property and equipment is reviewed for possible impairment whenever events or changes in circumstances indicate that the carrying amount may not be recoverable. Assets are determined to be impaired if a forecast of undiscounted estimated future net operating cash flows directly related to the asset, including disposal value, if any, is less than the carrying amount of the asset. If any asset is determined to be impaired, the loss is measured as the amount by which the carrying amount of the asset exceeds its fair value. Repair and maintenance costs are expensed in the period incurred.</w:t>
      </w:r>
    </w:p>
    <w:p>
      <w:pPr>
        <w:spacing w:after="0" w:line="166" w:lineRule="exact"/>
        <w:rPr>
          <w:sz w:val="20"/>
          <w:szCs w:val="20"/>
          <w:color w:val="auto"/>
        </w:rPr>
      </w:pPr>
    </w:p>
    <w:p>
      <w:pPr>
        <w:ind w:left="60" w:right="179"/>
        <w:spacing w:after="0" w:line="289" w:lineRule="auto"/>
        <w:rPr>
          <w:sz w:val="20"/>
          <w:szCs w:val="20"/>
          <w:color w:val="auto"/>
        </w:rPr>
      </w:pPr>
      <w:r>
        <w:rPr>
          <w:rFonts w:ascii="Arial" w:cs="Arial" w:eastAsia="Arial" w:hAnsi="Arial"/>
          <w:sz w:val="16"/>
          <w:szCs w:val="16"/>
          <w:b w:val="1"/>
          <w:bCs w:val="1"/>
          <w:i w:val="1"/>
          <w:iCs w:val="1"/>
          <w:color w:val="auto"/>
        </w:rPr>
        <w:t xml:space="preserve">Asset Retirement Obligations. </w:t>
      </w:r>
      <w:r>
        <w:rPr>
          <w:rFonts w:ascii="Arial" w:cs="Arial" w:eastAsia="Arial" w:hAnsi="Arial"/>
          <w:sz w:val="16"/>
          <w:szCs w:val="16"/>
          <w:color w:val="auto"/>
        </w:rPr>
        <w:t>An asset retirement obligation (“ARO”) associated with the retirement of a tangible long-lived asset is recognized as a liability in the period incurred. It is associated with an increase in the carrying amount of the related long-lived asset, the Company’s oil and natural gas properties. The cost of the tangible asset, including the asset retirement cost, is depleted over the useful life of the asset. The initial recognition or subsequent revision of asset retirement cost is considered a Level 3 fair value measurement. The asset retirement obligation is recorded at its estimated fair value, measured by reference to the expected future cash outflows required to satisfy the retirement obligation discounted at the Company’s credit-adjusted risk-free interest rate. Accretion expense is recognized over time as the discounted liability is accreted to its expected settlement value. If the estimated future cost of the asset retirement obligation changes, an adjustment is recorded to both the asset retirement obligation and the long-lived asset. Revisions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EVOLUTION PETROLEUM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60" w:right="639"/>
        <w:spacing w:after="0" w:line="277" w:lineRule="auto"/>
        <w:rPr>
          <w:sz w:val="20"/>
          <w:szCs w:val="20"/>
          <w:color w:val="auto"/>
        </w:rPr>
      </w:pPr>
      <w:r>
        <w:rPr>
          <w:rFonts w:ascii="Arial" w:cs="Arial" w:eastAsia="Arial" w:hAnsi="Arial"/>
          <w:sz w:val="18"/>
          <w:szCs w:val="18"/>
          <w:color w:val="auto"/>
        </w:rPr>
        <w:t>to estimated asset retirement obligations can result from changes in retirement cost estimates, revisions to estimated inflation rates, and changes in the estimated timing of abandonment.</w:t>
      </w:r>
    </w:p>
    <w:p>
      <w:pPr>
        <w:spacing w:after="0" w:line="170"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b w:val="1"/>
          <w:bCs w:val="1"/>
          <w:i w:val="1"/>
          <w:iCs w:val="1"/>
          <w:color w:val="auto"/>
        </w:rPr>
        <w:t xml:space="preserve">Fair Value of Financial Instruments. </w:t>
      </w:r>
      <w:r>
        <w:rPr>
          <w:rFonts w:ascii="Arial" w:cs="Arial" w:eastAsia="Arial" w:hAnsi="Arial"/>
          <w:sz w:val="18"/>
          <w:szCs w:val="18"/>
          <w:color w:val="auto"/>
        </w:rPr>
        <w:t>The Company’s financial instruments consist of cash and cash equivalents, accounts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receivable, accounts payable, derivative instruments, and debt. Except for derivatives, the carrying amounts of cash and cash equivalents, accounts receivable and accounts payable are short-term instruments and approximate fair value due to their highly liquid nature. The carrying amount of debt approximates fair value as the variable rates on the Senior Secured Credit Facility, as defined in Note 5, </w:t>
      </w:r>
      <w:r>
        <w:rPr>
          <w:rFonts w:ascii="Arial" w:cs="Arial" w:eastAsia="Arial" w:hAnsi="Arial"/>
          <w:sz w:val="18"/>
          <w:szCs w:val="18"/>
          <w:i w:val="1"/>
          <w:iCs w:val="1"/>
          <w:color w:val="auto"/>
        </w:rPr>
        <w:t>“Senior Secured Credit Facility</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are market interest rates. The fair values of the Company’s derivative assets and liabilities are based on a third-party industry-standard pricing model that uses market data obtained from third-party sources, including quoted forward prices for oil and natural gas, discount rates, and volatility factors.</w:t>
      </w:r>
    </w:p>
    <w:p>
      <w:pPr>
        <w:spacing w:after="0" w:line="192" w:lineRule="exact"/>
        <w:rPr>
          <w:sz w:val="20"/>
          <w:szCs w:val="20"/>
          <w:color w:val="auto"/>
        </w:rPr>
      </w:pPr>
    </w:p>
    <w:p>
      <w:pPr>
        <w:ind w:left="60" w:right="79"/>
        <w:spacing w:after="0" w:line="311" w:lineRule="auto"/>
        <w:rPr>
          <w:sz w:val="20"/>
          <w:szCs w:val="20"/>
          <w:color w:val="auto"/>
        </w:rPr>
      </w:pPr>
      <w:r>
        <w:rPr>
          <w:rFonts w:ascii="Arial" w:cs="Arial" w:eastAsia="Arial" w:hAnsi="Arial"/>
          <w:sz w:val="16"/>
          <w:szCs w:val="16"/>
          <w:b w:val="1"/>
          <w:bCs w:val="1"/>
          <w:i w:val="1"/>
          <w:iCs w:val="1"/>
          <w:color w:val="auto"/>
        </w:rPr>
        <w:t xml:space="preserve">Concentrations of Credit Risk. </w:t>
      </w:r>
      <w:r>
        <w:rPr>
          <w:rFonts w:ascii="Arial" w:cs="Arial" w:eastAsia="Arial" w:hAnsi="Arial"/>
          <w:sz w:val="16"/>
          <w:szCs w:val="16"/>
          <w:color w:val="auto"/>
        </w:rPr>
        <w:t>The Company’s primary concentrations of credit risk are the risks of uncollectible accounts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receivable, and to a lesser extent, the non-performance by counterparties under the Company’s derivative contracts, and cash and cash equivalent balances in excess of limits federally insured by the Federal Deposit Insurance Corporation.</w:t>
      </w:r>
    </w:p>
    <w:p>
      <w:pPr>
        <w:spacing w:after="0" w:line="149" w:lineRule="exact"/>
        <w:rPr>
          <w:sz w:val="20"/>
          <w:szCs w:val="20"/>
          <w:color w:val="auto"/>
        </w:rPr>
      </w:pPr>
    </w:p>
    <w:p>
      <w:pPr>
        <w:ind w:left="60" w:right="59"/>
        <w:spacing w:after="0" w:line="286" w:lineRule="auto"/>
        <w:rPr>
          <w:sz w:val="20"/>
          <w:szCs w:val="20"/>
          <w:color w:val="auto"/>
        </w:rPr>
      </w:pPr>
      <w:r>
        <w:rPr>
          <w:rFonts w:ascii="Arial" w:cs="Arial" w:eastAsia="Arial" w:hAnsi="Arial"/>
          <w:sz w:val="16"/>
          <w:szCs w:val="16"/>
          <w:color w:val="auto"/>
        </w:rPr>
        <w:t>Substantially all of the Company’s accounts receivable as of June 30, 2023 and 2022 are from crude oil, natural gas, and NGL sales to third-party purchasers in the oil and natural gas industry. The Company holds working interests in crude oil and natural gas properties for which a third-party serves as operator. As a non-operator, the Company primarily markets its production through its field operators, except at the Jonah Field, where the Company takes its natural gas and NGL production in-kind. As a non-operator, the Company is highly dependent on the success of its third-party operators and the decisions made in connection with their operations. With the exception of the Jonah Field, the third-party operator sells the crude oil, natural gas, and NGLs to the purchaser, collects the cash, and distributes the cash to the Company. In the year ended June 30, 2023, approximately 83% of the Company’s total revenues were realized from the Jonah Field, Barnett Shale and Delhi Field combined. Diversified, the Company’s largest operator at Barnett, remitted approximately 26% of total revenue proceeds to the Company and at Delhi Field, Denbury, the operator of the Field, remitted approximately 22% of total revenue proceeds to the Company. At Jonah Field, where the Company takes its natural gas and NGL production in-kind, during the current year, the Company sold approximately 17% of its total revenues to Conoco Phillips. In the year ended June 30, 2022, three operators each distributed over 10% of the Company’s crude oil, natural gas and NGL revenues making up approximately 83% of total revenues for the year, respectively. The majority of the Company’s crude oil, natural gas, and NGL production is sold to purchasers under short-term (less than 12 months) contracts at market-based prices.</w:t>
      </w:r>
    </w:p>
    <w:p>
      <w:pPr>
        <w:spacing w:after="0" w:line="167" w:lineRule="exact"/>
        <w:rPr>
          <w:sz w:val="20"/>
          <w:szCs w:val="20"/>
          <w:color w:val="auto"/>
        </w:rPr>
      </w:pPr>
    </w:p>
    <w:p>
      <w:pPr>
        <w:ind w:left="60" w:right="59"/>
        <w:spacing w:after="0" w:line="287" w:lineRule="auto"/>
        <w:rPr>
          <w:sz w:val="20"/>
          <w:szCs w:val="20"/>
          <w:color w:val="auto"/>
        </w:rPr>
      </w:pPr>
      <w:r>
        <w:rPr>
          <w:rFonts w:ascii="Arial" w:cs="Arial" w:eastAsia="Arial" w:hAnsi="Arial"/>
          <w:sz w:val="16"/>
          <w:szCs w:val="16"/>
          <w:b w:val="1"/>
          <w:bCs w:val="1"/>
          <w:i w:val="1"/>
          <w:iCs w:val="1"/>
          <w:color w:val="auto"/>
        </w:rPr>
        <w:t xml:space="preserve">Derivative Instruments. </w:t>
      </w:r>
      <w:r>
        <w:rPr>
          <w:rFonts w:ascii="Arial" w:cs="Arial" w:eastAsia="Arial" w:hAnsi="Arial"/>
          <w:sz w:val="16"/>
          <w:szCs w:val="16"/>
          <w:color w:val="auto"/>
        </w:rPr>
        <w:t>The Company follows Accounting Standards Codification (“ASC”) 815,</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Derivatives and Hedging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(“ASC 815”). From time to time, in accordance with the Company’s risk management strategy and with certain covenants under the Senior Secured Credit Facility, it may hedge a portion of its forecasted crude oil, natural gas, and NGL production. All derivative instruments are recorded on the consolidated balance sheet as either an asset or liability measured at fair value. The Company nets its derivative instrument fair value amounts executed with the same counterparty pursuant to an International Swap Dealers Association Master Agreement (“ISDA”); the agreement provides for net settlement over the term of the contract and in the event of default or termination of the contract. Although the derivative instruments provide an economic hedge of the Company’s exposure to commodity price volatility, the Company elected not to meet the criteria to qualify its derivative instruments for hedge accounting treatment. Accordingly, the Company records the net change in the mark-to-market valuation of these positions, as well as payments and receipts on settled contracts, in </w:t>
      </w:r>
      <w:r>
        <w:rPr>
          <w:rFonts w:ascii="Arial" w:cs="Arial" w:eastAsia="Arial" w:hAnsi="Arial"/>
          <w:sz w:val="16"/>
          <w:szCs w:val="16"/>
          <w:i w:val="1"/>
          <w:iCs w:val="1"/>
          <w:color w:val="auto"/>
        </w:rPr>
        <w:t>“Net gain (loss) on derivative contracts”</w:t>
      </w:r>
      <w:r>
        <w:rPr>
          <w:rFonts w:ascii="Arial" w:cs="Arial" w:eastAsia="Arial" w:hAnsi="Arial"/>
          <w:sz w:val="16"/>
          <w:szCs w:val="16"/>
          <w:color w:val="auto"/>
        </w:rPr>
        <w:t xml:space="preserve"> on the consolidated statements of operations.</w:t>
      </w:r>
    </w:p>
    <w:p>
      <w:pPr>
        <w:spacing w:after="0" w:line="172" w:lineRule="exact"/>
        <w:rPr>
          <w:sz w:val="20"/>
          <w:szCs w:val="20"/>
          <w:color w:val="auto"/>
        </w:rPr>
      </w:pPr>
    </w:p>
    <w:p>
      <w:pPr>
        <w:jc w:val="both"/>
        <w:ind w:left="60" w:right="79"/>
        <w:spacing w:after="0" w:line="301" w:lineRule="auto"/>
        <w:rPr>
          <w:sz w:val="20"/>
          <w:szCs w:val="20"/>
          <w:color w:val="auto"/>
        </w:rPr>
      </w:pPr>
      <w:r>
        <w:rPr>
          <w:rFonts w:ascii="Arial" w:cs="Arial" w:eastAsia="Arial" w:hAnsi="Arial"/>
          <w:sz w:val="16"/>
          <w:szCs w:val="16"/>
          <w:b w:val="1"/>
          <w:bCs w:val="1"/>
          <w:i w:val="1"/>
          <w:iCs w:val="1"/>
          <w:color w:val="auto"/>
        </w:rPr>
        <w:t>Estimates of Proved Reserves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estimated quantities of proved oil and natural gas reserves have a significant impact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underlying financial statements. The estimated quantities of proved reserves are used to calculate depletion expense and the estimated future net cash flows associated with those proved reserves is the basis for determining impairment under the quarterly ceiling test calculation. The process of estimating oil and natural gas reserves is very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0" w:name="page61"/>
    <w:bookmarkEnd w:id="6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EVOLUTION PETROLEUM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60" w:right="179"/>
        <w:spacing w:after="0" w:line="269" w:lineRule="auto"/>
        <w:rPr>
          <w:sz w:val="20"/>
          <w:szCs w:val="20"/>
          <w:color w:val="auto"/>
        </w:rPr>
      </w:pPr>
      <w:r>
        <w:rPr>
          <w:rFonts w:ascii="Arial" w:cs="Arial" w:eastAsia="Arial" w:hAnsi="Arial"/>
          <w:sz w:val="17"/>
          <w:szCs w:val="17"/>
          <w:color w:val="auto"/>
        </w:rPr>
        <w:t>complex and requires significant decisions in the evaluation of all available geologic, geophysical, engineering, and economic data. Estimated reserves are often subject to future revisions, which could be substantial, based on the availability of additional information; this includes reservoir performance, additional development activity, new geologic and geophysical data, additional drilling, technological advancements, price changes, and other economic factors. As a result, material revisions to existing reserve estimates may occur from time to time. Although every reasonable effort is made to ensure that the reported reserve estimates prepared by the Company’s third-party independent engineers represent the most accurate assessments possible, the subjective decisions and variances in available data for the properties make these estimates generally less precise than other estimates included in the Company’s financial statements. Material revisions to reserve estimates and/or significant changes in commodity prices could substantially affect the Company’s estimated future net cash flows of its proved reserves. These changes could affect the Company’s quarterly ceiling test calculation and could significantly affect its depletion rate.</w:t>
      </w:r>
    </w:p>
    <w:p>
      <w:pPr>
        <w:spacing w:after="0" w:line="182" w:lineRule="exact"/>
        <w:rPr>
          <w:sz w:val="20"/>
          <w:szCs w:val="20"/>
          <w:color w:val="auto"/>
        </w:rPr>
      </w:pPr>
    </w:p>
    <w:p>
      <w:pPr>
        <w:ind w:left="60" w:right="59"/>
        <w:spacing w:after="0" w:line="270"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The Company recognizes deferred income tax assets and liabilities based on the differences between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tax basis of assets and liabilities and its reported amounts in the financial statements that may result in taxable or deductible amounts in future years. The measurement of deferred income tax assets may be reduced by a valuation allowance based upon management’s assessment of available evidence if it is deemed more likely than not that some or all of the deferred income tax assets will not be realizable. The Company recognizes a tax benefit from an uncertain position when it is more likely than not that the position will be sustained upon examination which is based on the technical merits of the position. The Company records the largest amount of tax benefit that is greater than 50% likely of being realized upon settlement with a taxing authority. The Company classifies any interest and penalties associated with income taxes as income tax expense.</w:t>
      </w:r>
    </w:p>
    <w:p>
      <w:pPr>
        <w:spacing w:after="0" w:line="181" w:lineRule="exact"/>
        <w:rPr>
          <w:sz w:val="20"/>
          <w:szCs w:val="20"/>
          <w:color w:val="auto"/>
        </w:rPr>
      </w:pPr>
    </w:p>
    <w:p>
      <w:pPr>
        <w:ind w:left="60" w:right="99"/>
        <w:spacing w:after="0" w:line="285" w:lineRule="auto"/>
        <w:rPr>
          <w:sz w:val="20"/>
          <w:szCs w:val="20"/>
          <w:color w:val="auto"/>
        </w:rPr>
      </w:pPr>
      <w:r>
        <w:rPr>
          <w:rFonts w:ascii="Arial" w:cs="Arial" w:eastAsia="Arial" w:hAnsi="Arial"/>
          <w:sz w:val="16"/>
          <w:szCs w:val="16"/>
          <w:b w:val="1"/>
          <w:bCs w:val="1"/>
          <w:i w:val="1"/>
          <w:iCs w:val="1"/>
          <w:color w:val="auto"/>
        </w:rPr>
        <w:t xml:space="preserve">Earnings (Loss) Per Share. </w:t>
      </w:r>
      <w:r>
        <w:rPr>
          <w:rFonts w:ascii="Arial" w:cs="Arial" w:eastAsia="Arial" w:hAnsi="Arial"/>
          <w:sz w:val="16"/>
          <w:szCs w:val="16"/>
          <w:color w:val="auto"/>
        </w:rPr>
        <w:t>The Company grants restricted stock awards which entitle the recipient to all of the rights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 shareholder of the Company including non-forfeitable rights to receive all dividends or other distributions paid with respect to such share; therefore, it applies the two-class method of calculating basic and diluted earnings (loss) per share (“EPS”) in accordance with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(“ASC 260”). Basic EPS is computed by dividing earnings or loss available to common stockholders, after allocating undistributed earnings to participating securities, by the weighted-average number of common shares outstanding during the period. The computation of diluted EPS is similar to the computation of basic EPS, except that the denominator is increased to include the number of additional common shares that would have been outstanding if potentially dilutive common shares had been issued. Unvested performance-based restricted stock awards and unvested contingent restricted share units are only potentially dilutive if the awards meet their respective performance criteria as of the period end. The Company uses the treasury stock method to determine the effect of potentially dilutive common shares on diluted EPS, unless the effect would be anti-dilutive. The unamortized stock-based compensation expense related to unvested awards is assumed to be used to repurchase shares of common stock at the average market price during the period. The incremental shares (the difference between the number of shares assumed issued and the number of shares assumed repurchased) are included in the denominator of the diluted EPS computation. Awards with performance-based vesting restrictions are included in the computation of diluted shares, if dilutive, when the underlying performance conditions either (i) were satisfied as of the end of the reporting period or (ii) would be considered satisfied if the end of the reporting period were the end of the related contingency period.</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left="60" w:right="119"/>
        <w:spacing w:after="0" w:line="290"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w:t>
      </w:r>
      <w:r>
        <w:rPr>
          <w:rFonts w:ascii="Arial" w:cs="Arial" w:eastAsia="Arial" w:hAnsi="Arial"/>
          <w:sz w:val="16"/>
          <w:szCs w:val="16"/>
          <w:color w:val="auto"/>
        </w:rPr>
        <w:t xml:space="preserve"> (“ASU 2016-13”). ASU 2016-13 changes the impairment model for most financial assets and certain other instruments, including trade and other receivables, and requires the use of a new forward-looking expected loss model that will result in the earlier recognition of allowances for losses. Early adoption is permitted and entities must adopt the amendment using a modified retrospective approach to the first reporting period in which the guidance is effective. For smaller reporting companies, as provided by ASU 2019-10, </w:t>
      </w:r>
      <w:r>
        <w:rPr>
          <w:rFonts w:ascii="Arial" w:cs="Arial" w:eastAsia="Arial" w:hAnsi="Arial"/>
          <w:sz w:val="16"/>
          <w:szCs w:val="16"/>
          <w:i w:val="1"/>
          <w:iCs w:val="1"/>
          <w:color w:val="auto"/>
        </w:rPr>
        <w:t>Financial Instruments - Credit Losses (Topic 326), Derivatives and Hedging (Topic 815), and Leases (Topic</w:t>
      </w:r>
      <w:r>
        <w:rPr>
          <w:rFonts w:ascii="Arial" w:cs="Arial" w:eastAsia="Arial" w:hAnsi="Arial"/>
          <w:sz w:val="16"/>
          <w:szCs w:val="16"/>
          <w:color w:val="auto"/>
        </w:rPr>
        <w:t xml:space="preserve"> </w:t>
      </w:r>
      <w:r>
        <w:rPr>
          <w:rFonts w:ascii="Arial" w:cs="Arial" w:eastAsia="Arial" w:hAnsi="Arial"/>
          <w:sz w:val="16"/>
          <w:szCs w:val="16"/>
          <w:i w:val="1"/>
          <w:iCs w:val="1"/>
          <w:color w:val="auto"/>
        </w:rPr>
        <w:t>842)</w:t>
      </w:r>
      <w:r>
        <w:rPr>
          <w:rFonts w:ascii="Arial" w:cs="Arial" w:eastAsia="Arial" w:hAnsi="Arial"/>
          <w:sz w:val="16"/>
          <w:szCs w:val="16"/>
          <w:color w:val="auto"/>
        </w:rPr>
        <w:t>, ASU 2016-13 is effective for annual periods, including interim periods within those annual periods, beginning after</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15, 2022. The Company is currently evaluating the impact of ASU 2016-13 but does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EVOLUTION PETROLEUM CORPORATION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60" w:right="599"/>
        <w:spacing w:after="0" w:line="277" w:lineRule="auto"/>
        <w:rPr>
          <w:sz w:val="20"/>
          <w:szCs w:val="20"/>
          <w:color w:val="auto"/>
        </w:rPr>
      </w:pPr>
      <w:r>
        <w:rPr>
          <w:rFonts w:ascii="Arial" w:cs="Arial" w:eastAsia="Arial" w:hAnsi="Arial"/>
          <w:sz w:val="18"/>
          <w:szCs w:val="18"/>
          <w:color w:val="auto"/>
        </w:rPr>
        <w:t>not expect that it will have a material effect on the Company’s financial position, results of operations, cash flows or disclosures.</w:t>
      </w:r>
    </w:p>
    <w:p>
      <w:pPr>
        <w:spacing w:after="0" w:line="170" w:lineRule="exact"/>
        <w:rPr>
          <w:sz w:val="20"/>
          <w:szCs w:val="20"/>
          <w:color w:val="auto"/>
        </w:rPr>
      </w:pPr>
    </w:p>
    <w:p>
      <w:pPr>
        <w:ind w:left="60" w:right="319"/>
        <w:spacing w:after="0" w:line="342" w:lineRule="auto"/>
        <w:rPr>
          <w:sz w:val="20"/>
          <w:szCs w:val="20"/>
          <w:color w:val="auto"/>
        </w:rPr>
      </w:pPr>
      <w:r>
        <w:rPr>
          <w:rFonts w:ascii="Arial" w:cs="Arial" w:eastAsia="Arial" w:hAnsi="Arial"/>
          <w:sz w:val="16"/>
          <w:szCs w:val="16"/>
          <w:color w:val="auto"/>
        </w:rPr>
        <w:t>Other accounting pronouncements that have recently been issued by the FASB or other standards-setting bodies are not expected to have a material impact on the Company’s financial position, results of operations, cash flows or disclosures.</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Revenue Recognition</w:t>
      </w:r>
    </w:p>
    <w:p>
      <w:pPr>
        <w:spacing w:after="0" w:line="229" w:lineRule="exact"/>
        <w:rPr>
          <w:sz w:val="20"/>
          <w:szCs w:val="20"/>
          <w:color w:val="auto"/>
        </w:rPr>
      </w:pPr>
    </w:p>
    <w:p>
      <w:pPr>
        <w:ind w:left="60" w:right="99"/>
        <w:spacing w:after="0" w:line="296" w:lineRule="auto"/>
        <w:rPr>
          <w:sz w:val="20"/>
          <w:szCs w:val="20"/>
          <w:color w:val="auto"/>
        </w:rPr>
      </w:pPr>
      <w:r>
        <w:rPr>
          <w:rFonts w:ascii="Arial" w:cs="Arial" w:eastAsia="Arial" w:hAnsi="Arial"/>
          <w:sz w:val="16"/>
          <w:szCs w:val="16"/>
          <w:color w:val="auto"/>
        </w:rPr>
        <w:t xml:space="preserve">The Company’s revenues are primarily generated from its crude oil, natural gas and NGL production from </w:t>
      </w:r>
      <w:r>
        <w:rPr>
          <w:rFonts w:ascii="Arial" w:cs="Arial" w:eastAsia="Arial" w:hAnsi="Arial"/>
          <w:sz w:val="16"/>
          <w:szCs w:val="16"/>
          <w:color w:val="333333"/>
        </w:rPr>
        <w:t>the Jonah</w:t>
      </w:r>
      <w:r>
        <w:rPr>
          <w:rFonts w:ascii="Arial" w:cs="Arial" w:eastAsia="Arial" w:hAnsi="Arial"/>
          <w:sz w:val="16"/>
          <w:szCs w:val="16"/>
          <w:color w:val="auto"/>
        </w:rPr>
        <w:t xml:space="preserve"> Field in Sublette County, Wyoming; the Williston Basin in North Dakota; the Barnett Shale located in North Texas; the Hamilton Dome Field in Wyoming; and the Delhi Field in Northeast Louisiana. Additionally, an overriding royalty interest retained in a past divestiture of Texas properties provides de minimis revenue. The following table disaggregates the Company’s revenues by major product for the years ended June 30, 2023 and 2022 (in thousands):</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3"/>
              </w:rPr>
              <w:t>Years Ended June 30,</w:t>
            </w:r>
          </w:p>
        </w:tc>
        <w:tc>
          <w:tcPr>
            <w:tcW w:w="1080" w:type="dxa"/>
            <w:vAlign w:val="bottom"/>
            <w:tcBorders>
              <w:bottom w:val="single" w:sz="8" w:color="auto"/>
            </w:tcBorders>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34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40" w:type="dxa"/>
            <w:vAlign w:val="bottom"/>
            <w:tcBorders>
              <w:bottom w:val="single" w:sz="8" w:color="auto"/>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2022</w:t>
            </w:r>
          </w:p>
        </w:tc>
      </w:tr>
      <w:tr>
        <w:trPr>
          <w:trHeight w:val="196"/>
        </w:trPr>
        <w:tc>
          <w:tcPr>
            <w:tcW w:w="20" w:type="dxa"/>
            <w:vAlign w:val="bottom"/>
          </w:tcPr>
          <w:p>
            <w:pPr>
              <w:spacing w:after="0"/>
              <w:rPr>
                <w:sz w:val="17"/>
                <w:szCs w:val="17"/>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10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340" w:type="dxa"/>
            <w:vAlign w:val="bottom"/>
          </w:tcPr>
          <w:p>
            <w:pPr>
              <w:ind w:left="100"/>
              <w:spacing w:after="0"/>
              <w:rPr>
                <w:sz w:val="20"/>
                <w:szCs w:val="20"/>
                <w:color w:val="auto"/>
              </w:rPr>
            </w:pPr>
            <w:r>
              <w:rPr>
                <w:rFonts w:ascii="Arial" w:cs="Arial" w:eastAsia="Arial" w:hAnsi="Arial"/>
                <w:sz w:val="16"/>
                <w:szCs w:val="16"/>
                <w:color w:val="auto"/>
              </w:rPr>
              <w:t>Crude oil</w:t>
            </w:r>
          </w:p>
        </w:tc>
        <w:tc>
          <w:tcPr>
            <w:tcW w:w="2060" w:type="dxa"/>
            <w:vAlign w:val="bottom"/>
            <w:gridSpan w:val="2"/>
          </w:tcPr>
          <w:p>
            <w:pPr>
              <w:jc w:val="right"/>
              <w:ind w:right="914"/>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51,044</w:t>
            </w:r>
          </w:p>
        </w:tc>
        <w:tc>
          <w:tcPr>
            <w:tcW w:w="980" w:type="dxa"/>
            <w:vAlign w:val="bottom"/>
            <w:gridSpan w:val="2"/>
          </w:tcPr>
          <w:p>
            <w:pPr>
              <w:jc w:val="right"/>
              <w:ind w:right="464"/>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52,683</w:t>
            </w:r>
          </w:p>
        </w:tc>
      </w:tr>
      <w:tr>
        <w:trPr>
          <w:trHeight w:val="203"/>
        </w:trPr>
        <w:tc>
          <w:tcPr>
            <w:tcW w:w="20" w:type="dxa"/>
            <w:vAlign w:val="bottom"/>
          </w:tcPr>
          <w:p>
            <w:pPr>
              <w:spacing w:after="0"/>
              <w:rPr>
                <w:sz w:val="17"/>
                <w:szCs w:val="17"/>
                <w:color w:val="auto"/>
              </w:rPr>
            </w:pPr>
          </w:p>
        </w:tc>
        <w:tc>
          <w:tcPr>
            <w:tcW w:w="2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Natural gas</w:t>
            </w:r>
          </w:p>
        </w:tc>
        <w:tc>
          <w:tcPr>
            <w:tcW w:w="10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63,800</w:t>
            </w: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39,174</w:t>
            </w:r>
          </w:p>
        </w:tc>
      </w:tr>
      <w:tr>
        <w:trPr>
          <w:trHeight w:val="203"/>
        </w:trPr>
        <w:tc>
          <w:tcPr>
            <w:tcW w:w="20" w:type="dxa"/>
            <w:vAlign w:val="bottom"/>
          </w:tcPr>
          <w:p>
            <w:pPr>
              <w:spacing w:after="0"/>
              <w:rPr>
                <w:sz w:val="17"/>
                <w:szCs w:val="17"/>
                <w:color w:val="auto"/>
              </w:rPr>
            </w:pPr>
          </w:p>
        </w:tc>
        <w:tc>
          <w:tcPr>
            <w:tcW w:w="234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Natural gas liquids</w:t>
            </w:r>
          </w:p>
        </w:tc>
        <w:tc>
          <w:tcPr>
            <w:tcW w:w="10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13,670</w:t>
            </w:r>
          </w:p>
        </w:tc>
        <w:tc>
          <w:tcPr>
            <w:tcW w:w="36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17,069</w:t>
            </w:r>
          </w:p>
        </w:tc>
      </w:tr>
      <w:tr>
        <w:trPr>
          <w:trHeight w:val="196"/>
        </w:trPr>
        <w:tc>
          <w:tcPr>
            <w:tcW w:w="20" w:type="dxa"/>
            <w:vAlign w:val="bottom"/>
          </w:tcPr>
          <w:p>
            <w:pPr>
              <w:spacing w:after="0"/>
              <w:rPr>
                <w:sz w:val="17"/>
                <w:szCs w:val="17"/>
                <w:color w:val="auto"/>
              </w:rPr>
            </w:pPr>
          </w:p>
        </w:tc>
        <w:tc>
          <w:tcPr>
            <w:tcW w:w="23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revenues</w:t>
            </w:r>
          </w:p>
        </w:tc>
        <w:tc>
          <w:tcPr>
            <w:tcW w:w="10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914"/>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128,514</w:t>
            </w:r>
          </w:p>
        </w:tc>
        <w:tc>
          <w:tcPr>
            <w:tcW w:w="3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46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108,926</w:t>
            </w: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459"/>
        <w:spacing w:after="0" w:line="342" w:lineRule="auto"/>
        <w:rPr>
          <w:sz w:val="20"/>
          <w:szCs w:val="20"/>
          <w:color w:val="auto"/>
        </w:rPr>
      </w:pPr>
      <w:r>
        <w:rPr>
          <w:rFonts w:ascii="Arial" w:cs="Arial" w:eastAsia="Arial" w:hAnsi="Arial"/>
          <w:sz w:val="16"/>
          <w:szCs w:val="16"/>
          <w:color w:val="auto"/>
        </w:rPr>
        <w:t>In the Jonah Field, the Company has elected to take its natural gas and NGL working interest production in-kind and markets its NGL production to Enterprise Products Partners L.P. and its natural gas production to different purchasers.</w:t>
      </w:r>
    </w:p>
    <w:p>
      <w:pPr>
        <w:spacing w:after="0" w:line="124"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color w:val="auto"/>
        </w:rPr>
        <w:t>The Company does not take production in-kind at any of its other properties and does not negotiate contracts with customers for such production. The Company recognizes crude oil, natural gas, and NGL production revenue at the point in time when custody and title (“control”) of the product transfers to the customer. The sales of oil and natural gas are made under contracts which the Company’s third-party operators of its wells have negotiated with customers, which typically include variable consideration that is based on pricing tied to local indices and volumes delivered in the current month. The Company receives payment from the sale of oil and natural gas production one to two months after delivery.</w:t>
      </w:r>
    </w:p>
    <w:p>
      <w:pPr>
        <w:spacing w:after="0" w:line="164" w:lineRule="exact"/>
        <w:rPr>
          <w:sz w:val="20"/>
          <w:szCs w:val="20"/>
          <w:color w:val="auto"/>
        </w:rPr>
      </w:pPr>
    </w:p>
    <w:p>
      <w:pPr>
        <w:ind w:left="60" w:right="259"/>
        <w:spacing w:after="0" w:line="273" w:lineRule="auto"/>
        <w:rPr>
          <w:sz w:val="20"/>
          <w:szCs w:val="20"/>
          <w:color w:val="auto"/>
        </w:rPr>
      </w:pPr>
      <w:r>
        <w:rPr>
          <w:rFonts w:ascii="Arial" w:cs="Arial" w:eastAsia="Arial" w:hAnsi="Arial"/>
          <w:sz w:val="17"/>
          <w:szCs w:val="17"/>
          <w:color w:val="auto"/>
        </w:rPr>
        <w:t xml:space="preserve">Judgments made in applying the guidance in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relate primarily to determining the point in time when control of product transfers to the customer. The Company does not believe that significant judgments are required with respect to the determination of the transaction price, including amounts that represent variable consideration, as volume and price carry a low level of estimation uncertainty given the precision of volumetric measurements and the use of index pricing with predictable differentials. Accordingly, the Company does not consider estimates of variable consideration to be constrained.</w:t>
      </w:r>
    </w:p>
    <w:p>
      <w:pPr>
        <w:spacing w:after="0" w:line="178"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The Company’s contractual performance obligations arise upon the production of hydrocarbons from wells in which the Company has an ownership interest. The performance obligations are considered satisfied upon control of produced hydrocarbons transferring to a customer at a specified delivery point. Consideration is allocated to completed performance obligations at the end of an accounting period.</w:t>
      </w:r>
    </w:p>
    <w:p>
      <w:pPr>
        <w:spacing w:after="0" w:line="187" w:lineRule="exact"/>
        <w:rPr>
          <w:sz w:val="20"/>
          <w:szCs w:val="20"/>
          <w:color w:val="auto"/>
        </w:rPr>
      </w:pPr>
    </w:p>
    <w:p>
      <w:pPr>
        <w:ind w:left="60" w:right="119"/>
        <w:spacing w:after="0" w:line="291" w:lineRule="auto"/>
        <w:rPr>
          <w:sz w:val="20"/>
          <w:szCs w:val="20"/>
          <w:color w:val="auto"/>
        </w:rPr>
      </w:pPr>
      <w:r>
        <w:rPr>
          <w:rFonts w:ascii="Arial" w:cs="Arial" w:eastAsia="Arial" w:hAnsi="Arial"/>
          <w:sz w:val="16"/>
          <w:szCs w:val="16"/>
          <w:color w:val="auto"/>
        </w:rPr>
        <w:t>Revenue is recorded in the month when contractual performance obligations are satisfied. However, settlement statements from the purchasers of hydrocarbons and the related cash consideration are received by field operators one to two months before the Company receives payment and documentation from the operator, which is typical in the oil and natural gas industry. As a result, the Company must estimate the amount of production delivered to the customer and the consideration that will ultimately be received for the sale of the product. To estimate accounts receivable from operators’ contracts with customers, the Company uses knowledge of its properties, information from field operators, historical performance, contractual arrangements, index pricing, quality and transportation differentials, and other factors. Because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EVOLUTION PETROLEUM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 xml:space="preserve">the contractual performance obligations have been satisfied and an unconditional right to consideration exists as of the balance sheet date, the Company recognized amounts due from contracts with field operators as </w:t>
      </w:r>
      <w:r>
        <w:rPr>
          <w:rFonts w:ascii="Arial" w:cs="Arial" w:eastAsia="Arial" w:hAnsi="Arial"/>
          <w:sz w:val="18"/>
          <w:szCs w:val="18"/>
          <w:i w:val="1"/>
          <w:iCs w:val="1"/>
          <w:color w:val="auto"/>
        </w:rPr>
        <w:t>“Receivables from crude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oil, natural gas, and natural gas liquids revenues” </w:t>
      </w:r>
      <w:r>
        <w:rPr>
          <w:rFonts w:ascii="Arial" w:cs="Arial" w:eastAsia="Arial" w:hAnsi="Arial"/>
          <w:sz w:val="18"/>
          <w:szCs w:val="18"/>
          <w:color w:val="auto"/>
        </w:rPr>
        <w:t>on the consolidated balance sheets. Differences between estimates and</w:t>
      </w:r>
      <w:r>
        <w:rPr>
          <w:rFonts w:ascii="Arial" w:cs="Arial" w:eastAsia="Arial" w:hAnsi="Arial"/>
          <w:sz w:val="18"/>
          <w:szCs w:val="18"/>
          <w:i w:val="1"/>
          <w:iCs w:val="1"/>
          <w:color w:val="auto"/>
        </w:rPr>
        <w:t xml:space="preserve"> </w:t>
      </w:r>
      <w:r>
        <w:rPr>
          <w:rFonts w:ascii="Arial" w:cs="Arial" w:eastAsia="Arial" w:hAnsi="Arial"/>
          <w:sz w:val="18"/>
          <w:szCs w:val="18"/>
          <w:color w:val="auto"/>
        </w:rPr>
        <w:t>actual amounts received for product sales are recorded in the month that payments received from purchasers are remitted to the Company by field operators.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Acquisitions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On April 1, 2022, the Company closed the acquisition of non-operated interests in the Jonah Field in Sublette County,</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7"/>
          <w:szCs w:val="17"/>
          <w:color w:val="auto"/>
        </w:rPr>
        <w:t>Wyoming from Exaro Energy III, LLC (the “Jonah Field Acquisition”). After taking into account customary closing</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adjustments and an effective date of February 1, 2022, total cash consideration for the Jonah Field Acquisition was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$26.4 million. The Company accounted for this transaction as an asset acquisition and allocated all of the purchase price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(including $0.2 million of transaction costs) to proved oil and natural gas properties. Approximately, $1.6 million of the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consideration transferred related to deposits transferred to the Company at closing, the largest related to a $1.2 million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deposit with Enterprise for a gas gathering contract which was recorded to “</w:t>
      </w:r>
      <w:r>
        <w:rPr>
          <w:rFonts w:ascii="Arial" w:cs="Arial" w:eastAsia="Arial" w:hAnsi="Arial"/>
          <w:sz w:val="17"/>
          <w:szCs w:val="17"/>
          <w:i w:val="1"/>
          <w:iCs w:val="1"/>
          <w:color w:val="auto"/>
        </w:rPr>
        <w:t>Other assets</w:t>
      </w:r>
      <w:r>
        <w:rPr>
          <w:rFonts w:ascii="Arial" w:cs="Arial" w:eastAsia="Arial" w:hAnsi="Arial"/>
          <w:sz w:val="17"/>
          <w:szCs w:val="17"/>
          <w:color w:val="auto"/>
        </w:rPr>
        <w:t>” on the consolidated balance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sheets. In addition, the Company recognized $3.0 million in non-cash asset retirement obligations. The transaction was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funded with cash on hand and $17.0 million in borrowings under the Company’s Senior Secured Credit Facility.</w:t>
      </w:r>
    </w:p>
    <w:p>
      <w:pPr>
        <w:spacing w:after="0" w:line="211" w:lineRule="exact"/>
        <w:rPr>
          <w:sz w:val="20"/>
          <w:szCs w:val="20"/>
          <w:color w:val="auto"/>
        </w:rPr>
      </w:pPr>
    </w:p>
    <w:p>
      <w:pPr>
        <w:ind w:left="60" w:right="119"/>
        <w:spacing w:after="0" w:line="271" w:lineRule="auto"/>
        <w:rPr>
          <w:sz w:val="20"/>
          <w:szCs w:val="20"/>
          <w:color w:val="auto"/>
        </w:rPr>
      </w:pPr>
      <w:r>
        <w:rPr>
          <w:rFonts w:ascii="Arial" w:cs="Arial" w:eastAsia="Arial" w:hAnsi="Arial"/>
          <w:sz w:val="17"/>
          <w:szCs w:val="17"/>
          <w:color w:val="auto"/>
        </w:rPr>
        <w:t>On January 14, 2022, the Company completed the acquisition of non-operated working interests in the Williston Basin in North Dakota from Foundation Energy Fund VII-A, LP and Foundation Energy Management, LLC (the “Williston Basin Acquisition”). After taking into account customary closing adjustments and an effective date of June 1, 2021, cash consideration was $25.2 million which included $0.3 million of capitalized transaction costs related to the acquisition. The Company accounted for the transaction as an asset acquisition and allocated all of the purchase price (including capitalized transaction costs) to proved oil and natural gas properties. The Company also recognized $2.4 million in non-cash asset retirement obligations. The transaction was funded with cash on hand and $16.0 million in borrowings under the Company’s Senior Secured Credit Facility.</w:t>
      </w:r>
    </w:p>
    <w:p>
      <w:pPr>
        <w:spacing w:after="0" w:line="178"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color w:val="auto"/>
        </w:rPr>
        <w:t>In accordance with the FASB’s authoritative guidance on asset acquisitions, the Company allocated the cost of the above acquisitions to the assets acquired and liabilities assumed based on a relative fair value basis of the assets acquired and liabilities assumed, with no recognition of goodwill or bargain purchase gain recorded. Incremental legal and professional fees related directly to the acquisitions were capitalized as part of the acquisition cost. The fair value is the price that would be received to sell an asset or paid to transfer a liability in an orderly transaction between market participants at the measurement date (exit price). Fair value measurements also utilize market assumptions of market participants.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Property and Equipment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Property and equipment as of June 30, 2023 and 2022 consisted of the following (in thousands):</w:t>
      </w:r>
    </w:p>
    <w:p>
      <w:pPr>
        <w:spacing w:after="0" w:line="239" w:lineRule="exact"/>
        <w:rPr>
          <w:sz w:val="20"/>
          <w:szCs w:val="20"/>
          <w:color w:val="auto"/>
        </w:rPr>
      </w:pPr>
    </w:p>
    <w:tbl>
      <w:tblPr>
        <w:tblLayout w:type="fixed"/>
        <w:tblInd w:w="9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 2023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4"/>
              </w:rPr>
              <w:t>June 30, 2022</w:t>
            </w:r>
          </w:p>
        </w:tc>
      </w:tr>
      <w:tr>
        <w:trPr>
          <w:trHeight w:val="202"/>
        </w:trPr>
        <w:tc>
          <w:tcPr>
            <w:tcW w:w="20" w:type="dxa"/>
            <w:vAlign w:val="bottom"/>
          </w:tcPr>
          <w:p>
            <w:pPr>
              <w:spacing w:after="0"/>
              <w:rPr>
                <w:sz w:val="17"/>
                <w:szCs w:val="17"/>
                <w:color w:val="auto"/>
              </w:rPr>
            </w:pPr>
          </w:p>
        </w:tc>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Oil and natural gas properties</w:t>
            </w: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680" w:type="dxa"/>
            <w:vAlign w:val="bottom"/>
          </w:tcPr>
          <w:p>
            <w:pPr>
              <w:ind w:left="100"/>
              <w:spacing w:after="0"/>
              <w:rPr>
                <w:sz w:val="20"/>
                <w:szCs w:val="20"/>
                <w:color w:val="auto"/>
              </w:rPr>
            </w:pPr>
            <w:r>
              <w:rPr>
                <w:rFonts w:ascii="Arial" w:cs="Arial" w:eastAsia="Arial" w:hAnsi="Arial"/>
                <w:sz w:val="16"/>
                <w:szCs w:val="16"/>
                <w:color w:val="auto"/>
              </w:rPr>
              <w:t>Property costs subject to amortization</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197,049</w:t>
            </w:r>
          </w:p>
        </w:tc>
        <w:tc>
          <w:tcPr>
            <w:tcW w:w="240" w:type="dxa"/>
            <w:vAlign w:val="bottom"/>
          </w:tcPr>
          <w:p>
            <w:pPr>
              <w:spacing w:after="0"/>
              <w:rPr>
                <w:sz w:val="17"/>
                <w:szCs w:val="17"/>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188,634</w:t>
            </w:r>
          </w:p>
        </w:tc>
      </w:tr>
      <w:tr>
        <w:trPr>
          <w:trHeight w:val="193"/>
        </w:trPr>
        <w:tc>
          <w:tcPr>
            <w:tcW w:w="20" w:type="dxa"/>
            <w:vAlign w:val="bottom"/>
          </w:tcPr>
          <w:p>
            <w:pPr>
              <w:spacing w:after="0"/>
              <w:rPr>
                <w:sz w:val="16"/>
                <w:szCs w:val="16"/>
                <w:color w:val="auto"/>
              </w:rPr>
            </w:pPr>
          </w:p>
        </w:tc>
        <w:tc>
          <w:tcPr>
            <w:tcW w:w="36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Less: Accumulated depletion, depreciation, and</w:t>
            </w: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36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impairment</w:t>
            </w:r>
          </w:p>
        </w:tc>
        <w:tc>
          <w:tcPr>
            <w:tcW w:w="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(91,268)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(78,126)</w:t>
            </w:r>
          </w:p>
        </w:tc>
      </w:tr>
      <w:tr>
        <w:trPr>
          <w:trHeight w:val="196"/>
        </w:trPr>
        <w:tc>
          <w:tcPr>
            <w:tcW w:w="20" w:type="dxa"/>
            <w:vAlign w:val="bottom"/>
          </w:tcPr>
          <w:p>
            <w:pPr>
              <w:spacing w:after="0"/>
              <w:rPr>
                <w:sz w:val="17"/>
                <w:szCs w:val="17"/>
                <w:color w:val="auto"/>
              </w:rPr>
            </w:pPr>
          </w:p>
        </w:tc>
        <w:tc>
          <w:tcPr>
            <w:tcW w:w="3680" w:type="dxa"/>
            <w:vAlign w:val="bottom"/>
          </w:tcPr>
          <w:p>
            <w:pPr>
              <w:ind w:left="100"/>
              <w:spacing w:after="0"/>
              <w:rPr>
                <w:sz w:val="20"/>
                <w:szCs w:val="20"/>
                <w:color w:val="auto"/>
              </w:rPr>
            </w:pPr>
            <w:r>
              <w:rPr>
                <w:rFonts w:ascii="Arial" w:cs="Arial" w:eastAsia="Arial" w:hAnsi="Arial"/>
                <w:sz w:val="16"/>
                <w:szCs w:val="16"/>
                <w:color w:val="auto"/>
              </w:rPr>
              <w:t>Oil and natural gas properties, net</w:t>
            </w:r>
          </w:p>
        </w:tc>
        <w:tc>
          <w:tcPr>
            <w:tcW w:w="5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105,781</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110,508</w:t>
            </w: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459"/>
        <w:spacing w:after="0" w:line="279" w:lineRule="auto"/>
        <w:rPr>
          <w:sz w:val="20"/>
          <w:szCs w:val="20"/>
          <w:color w:val="auto"/>
        </w:rPr>
      </w:pPr>
      <w:r>
        <w:rPr>
          <w:rFonts w:ascii="Arial" w:cs="Arial" w:eastAsia="Arial" w:hAnsi="Arial"/>
          <w:sz w:val="17"/>
          <w:szCs w:val="17"/>
          <w:color w:val="auto"/>
        </w:rPr>
        <w:t>As of June 30, 2023 and 2022, all oil and natural gas property costs were subject to amortization. Depletion on oil and natural gas properties was $13.1 million and $7.5 million for the years ended June 30, 2023 and 2022, respectively. Depreciation on other properties and equipment was less than $0.1 million for the year ended June 30, 2022. The Company’s other properties and equipment were fully depreciated as of June 30, 2022.</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EVOLUTION PETROLEUM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60" w:right="259"/>
        <w:spacing w:after="0" w:line="257" w:lineRule="auto"/>
        <w:rPr>
          <w:sz w:val="20"/>
          <w:szCs w:val="20"/>
          <w:color w:val="auto"/>
        </w:rPr>
      </w:pPr>
      <w:r>
        <w:rPr>
          <w:rFonts w:ascii="Arial" w:cs="Arial" w:eastAsia="Arial" w:hAnsi="Arial"/>
          <w:sz w:val="18"/>
          <w:szCs w:val="18"/>
          <w:color w:val="auto"/>
        </w:rPr>
        <w:t>During the years ended June 30, 2023 and 2022, the Company incurred development capital expenditures of $6.2 million and $2.6 million, respectively. In addition, during the year ended June 30, 2022, the Company recorded a downward $0.9 million purchase adjustment related to its acquisition of the Barnett Shale properties. The Company received $0.9 million during the year ended June 30, 2022 primarily related to effective date net revenues received from the previous owner of the properties.</w:t>
      </w:r>
    </w:p>
    <w:p>
      <w:pPr>
        <w:spacing w:after="0" w:line="188" w:lineRule="exact"/>
        <w:rPr>
          <w:sz w:val="20"/>
          <w:szCs w:val="20"/>
          <w:color w:val="auto"/>
        </w:rPr>
      </w:pPr>
    </w:p>
    <w:p>
      <w:pPr>
        <w:ind w:left="60" w:right="79"/>
        <w:spacing w:after="0" w:line="296" w:lineRule="auto"/>
        <w:rPr>
          <w:sz w:val="20"/>
          <w:szCs w:val="20"/>
          <w:color w:val="auto"/>
        </w:rPr>
      </w:pPr>
      <w:r>
        <w:rPr>
          <w:rFonts w:ascii="Arial" w:cs="Arial" w:eastAsia="Arial" w:hAnsi="Arial"/>
          <w:sz w:val="16"/>
          <w:szCs w:val="16"/>
          <w:color w:val="auto"/>
        </w:rPr>
        <w:t>The Company uses the full cost method of accounting for its investments in oil and natural gas properties. All costs of acquisition, exploration, and development of oil and natural gas reserves are capitalized as the cost of oil and natural gas and properties when incurred. To the extent capitalized costs of evaluated oil and natural gas properties, net of accumulated depletion, exceed the discounted future net revenues of proved oil and natural gas reserves, net of deferred taxes, such excess capitalized costs would be charged to expense as a write-down of oil and natural gas properties.</w:t>
      </w:r>
    </w:p>
    <w:p>
      <w:pPr>
        <w:spacing w:after="0" w:line="161" w:lineRule="exact"/>
        <w:rPr>
          <w:sz w:val="20"/>
          <w:szCs w:val="20"/>
          <w:color w:val="auto"/>
        </w:rPr>
      </w:pPr>
    </w:p>
    <w:p>
      <w:pPr>
        <w:ind w:left="60" w:right="179"/>
        <w:spacing w:after="0" w:line="293" w:lineRule="auto"/>
        <w:rPr>
          <w:sz w:val="20"/>
          <w:szCs w:val="20"/>
          <w:color w:val="auto"/>
        </w:rPr>
      </w:pPr>
      <w:r>
        <w:rPr>
          <w:rFonts w:ascii="Arial" w:cs="Arial" w:eastAsia="Arial" w:hAnsi="Arial"/>
          <w:sz w:val="16"/>
          <w:szCs w:val="16"/>
          <w:color w:val="auto"/>
        </w:rPr>
        <w:t>At June 30, 2023, the ceiling test value of the Company’s reserves was calculated based on the first-day-of-the-month average for the 12-months ended June 30, 2023 of the West Texas Intermediate (“WTI”) crude oil spot price of $83.23 per barrel and Henry Hub natural gas spot price of $4.78 per MMBtu, adjusted by market differentials by field. The net price per barrel of NGLs was $33.71, which was based on historical differentials to WTI as NGLs do not have any single comparable reference index price. Using these prices at June 30, 2023, the cost center ceiling was higher than the capitalized costs of oil and natural gas properties, and as a result, no write-down was necessary.</w:t>
      </w:r>
    </w:p>
    <w:p>
      <w:pPr>
        <w:spacing w:after="0" w:line="164" w:lineRule="exact"/>
        <w:rPr>
          <w:sz w:val="20"/>
          <w:szCs w:val="20"/>
          <w:color w:val="auto"/>
        </w:rPr>
      </w:pPr>
    </w:p>
    <w:p>
      <w:pPr>
        <w:ind w:left="60" w:right="99"/>
        <w:spacing w:after="0" w:line="273" w:lineRule="auto"/>
        <w:rPr>
          <w:sz w:val="20"/>
          <w:szCs w:val="20"/>
          <w:color w:val="auto"/>
        </w:rPr>
      </w:pPr>
      <w:r>
        <w:rPr>
          <w:rFonts w:ascii="Arial" w:cs="Arial" w:eastAsia="Arial" w:hAnsi="Arial"/>
          <w:sz w:val="17"/>
          <w:szCs w:val="17"/>
          <w:color w:val="auto"/>
        </w:rPr>
        <w:t>At June 30, 2022, the ceiling test value of the Company’s reserves was calculated based on the first-day-of-the-month average for the 12-months ended June 30, 2022 of the WTI crude oil spot price of $85.82 per barrel and Henry Hub natural gas spot price of $5.19 per MMBtu, adjusted by market differentials by field. The net price per barrel of NGLs was $44.24, which was based on historical differentials to WTI as NGLs do not have any single comparable reference index price. Using these prices at June 30, 2022, the cost center ceiling was higher than the capitalized costs of oil and natural gas properties, and as a result, no write-down was necessary.</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Senior Secured Credit Facility</w:t>
      </w:r>
    </w:p>
    <w:p>
      <w:pPr>
        <w:spacing w:after="0" w:line="229" w:lineRule="exact"/>
        <w:rPr>
          <w:sz w:val="20"/>
          <w:szCs w:val="20"/>
          <w:color w:val="auto"/>
        </w:rPr>
      </w:pPr>
    </w:p>
    <w:p>
      <w:pPr>
        <w:ind w:left="60" w:right="119"/>
        <w:spacing w:after="0" w:line="286" w:lineRule="auto"/>
        <w:rPr>
          <w:sz w:val="20"/>
          <w:szCs w:val="20"/>
          <w:color w:val="auto"/>
        </w:rPr>
      </w:pPr>
      <w:r>
        <w:rPr>
          <w:rFonts w:ascii="Arial" w:cs="Arial" w:eastAsia="Arial" w:hAnsi="Arial"/>
          <w:sz w:val="16"/>
          <w:szCs w:val="16"/>
          <w:color w:val="auto"/>
        </w:rPr>
        <w:t>On April 11, 2016, the Company entered into a three-year, senior secured reserve-based credit facility, as amended, (the “Senior Secured Credit Facility”) with MidFirst Bank in an amount up to $50.0 million with a current borrowing base of $50.0 million. On May 5, 2023, the Company entered into the Tenth Amendment to the Senior Secured Credit Facility extending the maturity to April 9, 2026. The Tenth Amendment also replaced the London Interbank Offered Rate ("LIBOR") with the Secured Overnight Financing Rate (“SOFR”) plus a credit spread adjustment of 0.05% to effectively convert SOFR to a LIBOR equivalent and modifies the Margined Collateral Value, as defined in the Ninth Amendment to the Senior Secured Credit Facility, to $95.0 million. The borrowing base will be redetermined semiannually, with the lenders and the Company each having the right to one interim unscheduled redetermination between any two consecutive semi-annual redeterminations. The borrowing base takes into account the estimated value of the Company’s oil and natural gas properties, proved reserves, total indebtedness, and other relevant factors consistent with customary oil and natural gas lending criteria. The Senior Secured Credit Facility carries a commitment fee of 0.25% per annum on the undrawn portion of the borrowing base. Any borrowings under the Senior Secured Credit Facility will bear interest, at the Company’s option, at either SOFR plus 2.80%, which includes a 0.05% credit spread adjustment from LIBOR, subject to a minimum SOFR of 0.50%, or the Prime Rate, as defined under the Senior Secured Credit Facility, plus 1.00%.</w:t>
      </w:r>
    </w:p>
    <w:p>
      <w:pPr>
        <w:spacing w:after="0" w:line="171" w:lineRule="exact"/>
        <w:rPr>
          <w:sz w:val="20"/>
          <w:szCs w:val="20"/>
          <w:color w:val="auto"/>
        </w:rPr>
      </w:pPr>
    </w:p>
    <w:p>
      <w:pPr>
        <w:ind w:left="60" w:right="359"/>
        <w:spacing w:after="0" w:line="293" w:lineRule="auto"/>
        <w:rPr>
          <w:sz w:val="20"/>
          <w:szCs w:val="20"/>
          <w:color w:val="auto"/>
        </w:rPr>
      </w:pPr>
      <w:r>
        <w:rPr>
          <w:rFonts w:ascii="Arial" w:cs="Arial" w:eastAsia="Arial" w:hAnsi="Arial"/>
          <w:sz w:val="16"/>
          <w:szCs w:val="16"/>
          <w:color w:val="auto"/>
        </w:rPr>
        <w:t>The Company may elect, at its option, to prepay any borrowings outstanding under the Senior Secured Credit Facility without premium or penalty. Amounts outstanding under the Senior Secured Credit Facility are guaranteed by the Company’s direct and indirect subsidiaries and secured by a security interest in substantially all of the properties of the Company and its subsidiaries. Borrowings under the Senior Secured Credit Facility may be used for the acquisition and development of oil and natural gas properties, investments in cash flow generating properties complimentary to the production of oil and natural gas, and for letters of credit or other general corporate purposes.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EVOLUTION PETROLEUM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60" w:right="139"/>
        <w:spacing w:after="0" w:line="270" w:lineRule="auto"/>
        <w:rPr>
          <w:sz w:val="20"/>
          <w:szCs w:val="20"/>
          <w:color w:val="auto"/>
        </w:rPr>
      </w:pPr>
      <w:r>
        <w:rPr>
          <w:rFonts w:ascii="Arial" w:cs="Arial" w:eastAsia="Arial" w:hAnsi="Arial"/>
          <w:sz w:val="17"/>
          <w:szCs w:val="17"/>
          <w:color w:val="auto"/>
        </w:rPr>
        <w:t>The Senior Secured Credit Facility contains certain events of default, including non-payment; breaches or representation and warranties; non-compliance with covenants; cross-defaults to material indebtedness; voluntary or involuntary bankruptcy; judgments and change in control. The Senior Secured Credit Facility also contains financial covenants including a requirement that the Company maintain, as of the last day of each fiscal quarter, (i) a maximum total leverage ratio of not more than 3.00 to 1.00, (ii) a current ratio of not less than 1.00 to 1.00, and (iii) a consolidated tangible net worth of not less than $40.0 million, each as defined in the Senior Secured Credit Facility. As of June 30, 2023, the Company did not have any borrowings outstanding under its Senior Secured Credit Facility, resulting in $50.0 million of available borrowing capacity. As of June 30, 2023, the Company was in compliance with the financial covenants under the Senior Secured Credit Facility.</w:t>
      </w:r>
    </w:p>
    <w:p>
      <w:pPr>
        <w:spacing w:after="0" w:line="181" w:lineRule="exact"/>
        <w:rPr>
          <w:sz w:val="20"/>
          <w:szCs w:val="20"/>
          <w:color w:val="auto"/>
        </w:rPr>
      </w:pPr>
    </w:p>
    <w:p>
      <w:pPr>
        <w:ind w:left="60" w:right="159"/>
        <w:spacing w:after="0" w:line="293" w:lineRule="auto"/>
        <w:rPr>
          <w:sz w:val="20"/>
          <w:szCs w:val="20"/>
          <w:color w:val="auto"/>
        </w:rPr>
      </w:pPr>
      <w:r>
        <w:rPr>
          <w:rFonts w:ascii="Arial" w:cs="Arial" w:eastAsia="Arial" w:hAnsi="Arial"/>
          <w:sz w:val="16"/>
          <w:szCs w:val="16"/>
          <w:color w:val="auto"/>
        </w:rPr>
        <w:t>On February 7, 2022, the Company entered into the Ninth Amendment to the Senior Secured Credit Facility. This amendment, among other things, modified the definition of utilization percentage related to the required hedging covenant such that for the purposes of determining the amount of future production to hedge, the utilization of the Senior Secured Credit Facility will be based on the Margined Collateral Value, as defined in the agreement, to the extent it exceeds the borrowing base then in effect. This amendment also required the Company to enter into hedges for the next 12-month period ending February 2023, covering 25% of expected crude oil and natural gas production over that period.</w:t>
      </w:r>
    </w:p>
    <w:p>
      <w:pPr>
        <w:spacing w:after="0" w:line="164" w:lineRule="exact"/>
        <w:rPr>
          <w:sz w:val="20"/>
          <w:szCs w:val="20"/>
          <w:color w:val="auto"/>
        </w:rPr>
      </w:pPr>
    </w:p>
    <w:p>
      <w:pPr>
        <w:ind w:left="60" w:right="99"/>
        <w:spacing w:after="0" w:line="301" w:lineRule="auto"/>
        <w:rPr>
          <w:sz w:val="20"/>
          <w:szCs w:val="20"/>
          <w:color w:val="auto"/>
        </w:rPr>
      </w:pPr>
      <w:r>
        <w:rPr>
          <w:rFonts w:ascii="Arial" w:cs="Arial" w:eastAsia="Arial" w:hAnsi="Arial"/>
          <w:sz w:val="16"/>
          <w:szCs w:val="16"/>
          <w:color w:val="auto"/>
        </w:rPr>
        <w:t>On November 9, 2021, the Company entered into the Eighth Amendment to the Senior Secured Credit Facility. This amendment, among other things, increased the borrowing base to $50.0 million and added a hedging covenant whereby the Company must hedge a minimum of 25% to 75% of future production on a rolling 12-month basis when 25% or more of the borrowing base is utilized. The hedging covenant was amended in the Ninth Amendment, as discussed above.</w:t>
      </w:r>
    </w:p>
    <w:p>
      <w:pPr>
        <w:spacing w:after="0" w:line="157"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On August 5, 2021 the Company entered into the Seventh Amendment to the Senior Secured Credit Facility which, among other things, added definitions for the terms “Acquired Entity or Mineral Interests” and “Acquired Entity or Mineral Interests EBITDA Adjustment.” Additionally, the consolidated tangible net worth covenant level was reduced to $40.0 million from $50.0 million.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Income Taxes</w:t>
      </w:r>
    </w:p>
    <w:p>
      <w:pPr>
        <w:spacing w:after="0" w:line="229"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The Company files a consolidated federal income tax return in the United States and various combined and separate filings in several state and local jurisdictions.</w:t>
      </w:r>
    </w:p>
    <w:p>
      <w:pPr>
        <w:spacing w:after="0" w:line="170" w:lineRule="exact"/>
        <w:rPr>
          <w:sz w:val="20"/>
          <w:szCs w:val="20"/>
          <w:color w:val="auto"/>
        </w:rPr>
      </w:pPr>
    </w:p>
    <w:p>
      <w:pPr>
        <w:ind w:left="60" w:right="219"/>
        <w:spacing w:after="0" w:line="290" w:lineRule="auto"/>
        <w:rPr>
          <w:sz w:val="20"/>
          <w:szCs w:val="20"/>
          <w:color w:val="auto"/>
        </w:rPr>
      </w:pPr>
      <w:r>
        <w:rPr>
          <w:rFonts w:ascii="Arial" w:cs="Arial" w:eastAsia="Arial" w:hAnsi="Arial"/>
          <w:sz w:val="16"/>
          <w:szCs w:val="16"/>
          <w:color w:val="auto"/>
        </w:rPr>
        <w:t>There were no unrecognized tax benefits, nor any accrued interest or penalties associated with unrecognized tax benefits during the years ended June 30, 2023 and 2022. The Company believes that it has appropriate support for the income tax positions taken and to be taken on the Company’s tax returns and that the accruals for tax liabilities are adequate for all open years based on its assessment of many factors including past experience and interpretations of tax law applied to the facts of each matter. The Company’s federal and state income tax returns are open to audit under the statute of limitations for the fiscal years ended June 30, 2020 through June 30, 2022 for federal tax purposes and for the fiscal years ended June 30, 2018 through June 30, 2022 for state tax purposes. To the extent the Company utilizes net operating losses (“NOLs”) generated in earlier years, such earlier years may also be subject to audit.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5" w:name="page66"/>
    <w:bookmarkEnd w:id="6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EVOLUTION PETROLEUM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Income tax (expense) benefit for the years ended June 30, 2023 and 2022 is comprised of the following (in thousands):</w:t>
      </w:r>
    </w:p>
    <w:p>
      <w:pPr>
        <w:spacing w:after="0" w:line="262" w:lineRule="exact"/>
        <w:rPr>
          <w:sz w:val="20"/>
          <w:szCs w:val="20"/>
          <w:color w:val="auto"/>
        </w:rPr>
      </w:pPr>
    </w:p>
    <w:tbl>
      <w:tblPr>
        <w:tblLayout w:type="fixed"/>
        <w:tblInd w:w="9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84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8"/>
              </w:rPr>
              <w:t>June 30, 2023</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0"/>
              </w:rPr>
              <w:t>June 30, 2022</w:t>
            </w:r>
          </w:p>
        </w:tc>
      </w:tr>
      <w:tr>
        <w:trPr>
          <w:trHeight w:val="202"/>
        </w:trPr>
        <w:tc>
          <w:tcPr>
            <w:tcW w:w="2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40" w:type="dxa"/>
            <w:vAlign w:val="bottom"/>
          </w:tcPr>
          <w:p>
            <w:pPr>
              <w:ind w:left="100"/>
              <w:spacing w:after="0"/>
              <w:rPr>
                <w:sz w:val="20"/>
                <w:szCs w:val="20"/>
                <w:color w:val="auto"/>
              </w:rPr>
            </w:pPr>
            <w:r>
              <w:rPr>
                <w:rFonts w:ascii="Arial" w:cs="Arial" w:eastAsia="Arial" w:hAnsi="Arial"/>
                <w:sz w:val="16"/>
                <w:szCs w:val="16"/>
                <w:color w:val="auto"/>
              </w:rPr>
              <w:t>Federal</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(9,600)</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(6,309)</w:t>
            </w:r>
          </w:p>
        </w:tc>
      </w:tr>
      <w:tr>
        <w:trPr>
          <w:trHeight w:val="203"/>
        </w:trPr>
        <w:tc>
          <w:tcPr>
            <w:tcW w:w="20" w:type="dxa"/>
            <w:vAlign w:val="bottom"/>
          </w:tcPr>
          <w:p>
            <w:pPr>
              <w:spacing w:after="0"/>
              <w:rPr>
                <w:sz w:val="17"/>
                <w:szCs w:val="17"/>
                <w:color w:val="auto"/>
              </w:rPr>
            </w:pPr>
          </w:p>
        </w:tc>
        <w:tc>
          <w:tcPr>
            <w:tcW w:w="38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State</w:t>
            </w:r>
          </w:p>
        </w:tc>
        <w:tc>
          <w:tcPr>
            <w:tcW w:w="7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(768)</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(1,062)</w:t>
            </w:r>
          </w:p>
        </w:tc>
      </w:tr>
      <w:tr>
        <w:trPr>
          <w:trHeight w:val="196"/>
        </w:trPr>
        <w:tc>
          <w:tcPr>
            <w:tcW w:w="20" w:type="dxa"/>
            <w:vAlign w:val="bottom"/>
          </w:tcPr>
          <w:p>
            <w:pPr>
              <w:spacing w:after="0"/>
              <w:rPr>
                <w:sz w:val="17"/>
                <w:szCs w:val="17"/>
                <w:color w:val="auto"/>
              </w:rPr>
            </w:pPr>
          </w:p>
        </w:tc>
        <w:tc>
          <w:tcPr>
            <w:tcW w:w="384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Total current income tax (expense) benefit</w:t>
            </w:r>
          </w:p>
        </w:tc>
        <w:tc>
          <w:tcPr>
            <w:tcW w:w="7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(10,368)</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(7,371)</w:t>
            </w:r>
          </w:p>
        </w:tc>
      </w:tr>
      <w:tr>
        <w:trPr>
          <w:trHeight w:val="196"/>
        </w:trPr>
        <w:tc>
          <w:tcPr>
            <w:tcW w:w="2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Deferred:</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40" w:type="dxa"/>
            <w:vAlign w:val="bottom"/>
          </w:tcPr>
          <w:p>
            <w:pPr>
              <w:ind w:left="100"/>
              <w:spacing w:after="0"/>
              <w:rPr>
                <w:sz w:val="20"/>
                <w:szCs w:val="20"/>
                <w:color w:val="auto"/>
              </w:rPr>
            </w:pPr>
            <w:r>
              <w:rPr>
                <w:rFonts w:ascii="Arial" w:cs="Arial" w:eastAsia="Arial" w:hAnsi="Arial"/>
                <w:sz w:val="16"/>
                <w:szCs w:val="16"/>
                <w:color w:val="auto"/>
              </w:rPr>
              <w:t>Federal</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(913)</w:t>
            </w:r>
          </w:p>
        </w:tc>
      </w:tr>
      <w:tr>
        <w:trPr>
          <w:trHeight w:val="203"/>
        </w:trPr>
        <w:tc>
          <w:tcPr>
            <w:tcW w:w="20" w:type="dxa"/>
            <w:vAlign w:val="bottom"/>
          </w:tcPr>
          <w:p>
            <w:pPr>
              <w:spacing w:after="0"/>
              <w:rPr>
                <w:sz w:val="17"/>
                <w:szCs w:val="17"/>
                <w:color w:val="auto"/>
              </w:rPr>
            </w:pPr>
          </w:p>
        </w:tc>
        <w:tc>
          <w:tcPr>
            <w:tcW w:w="38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State</w:t>
            </w:r>
          </w:p>
        </w:tc>
        <w:tc>
          <w:tcPr>
            <w:tcW w:w="7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w:t>
            </w:r>
          </w:p>
        </w:tc>
      </w:tr>
      <w:tr>
        <w:trPr>
          <w:trHeight w:val="196"/>
        </w:trPr>
        <w:tc>
          <w:tcPr>
            <w:tcW w:w="20" w:type="dxa"/>
            <w:vAlign w:val="bottom"/>
          </w:tcPr>
          <w:p>
            <w:pPr>
              <w:spacing w:after="0"/>
              <w:rPr>
                <w:sz w:val="17"/>
                <w:szCs w:val="17"/>
                <w:color w:val="auto"/>
              </w:rPr>
            </w:pPr>
          </w:p>
        </w:tc>
        <w:tc>
          <w:tcPr>
            <w:tcW w:w="384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Total deferred income tax (expense) benefit</w:t>
            </w:r>
          </w:p>
        </w:tc>
        <w:tc>
          <w:tcPr>
            <w:tcW w:w="7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(1,142)</w:t>
            </w:r>
          </w:p>
        </w:tc>
      </w:tr>
      <w:tr>
        <w:trPr>
          <w:trHeight w:val="196"/>
        </w:trPr>
        <w:tc>
          <w:tcPr>
            <w:tcW w:w="20" w:type="dxa"/>
            <w:vAlign w:val="bottom"/>
          </w:tcPr>
          <w:p>
            <w:pPr>
              <w:spacing w:after="0"/>
              <w:rPr>
                <w:sz w:val="17"/>
                <w:szCs w:val="17"/>
                <w:color w:val="auto"/>
              </w:rPr>
            </w:pPr>
          </w:p>
        </w:tc>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income tax (expense) benefit</w:t>
            </w:r>
          </w:p>
        </w:tc>
        <w:tc>
          <w:tcPr>
            <w:tcW w:w="7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(10,072)</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(8,513)</w:t>
            </w: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99"/>
        <w:spacing w:after="0" w:line="279" w:lineRule="auto"/>
        <w:rPr>
          <w:sz w:val="20"/>
          <w:szCs w:val="20"/>
          <w:color w:val="auto"/>
        </w:rPr>
      </w:pPr>
      <w:r>
        <w:rPr>
          <w:rFonts w:ascii="Arial" w:cs="Arial" w:eastAsia="Arial" w:hAnsi="Arial"/>
          <w:sz w:val="17"/>
          <w:szCs w:val="17"/>
          <w:color w:val="auto"/>
        </w:rPr>
        <w:t>For the year ended June 30, 2023 the Company recognized income tax expense of $10.1 million and had an effective tax rate of 22.2% compared to income tax expense of $8.5 million and an effective tax rates of 20.7% for the year ended June 30, 2022. During the years ended June 30, 2023 and 2022, the Company recognized an income tax benefit of $0.1 million for both periods related to the vesting of restricted stock awards.</w:t>
      </w:r>
    </w:p>
    <w:p>
      <w:pPr>
        <w:spacing w:after="0" w:line="171" w:lineRule="exact"/>
        <w:rPr>
          <w:sz w:val="20"/>
          <w:szCs w:val="20"/>
          <w:color w:val="auto"/>
        </w:rPr>
      </w:pPr>
    </w:p>
    <w:p>
      <w:pPr>
        <w:ind w:left="60" w:right="139"/>
        <w:spacing w:after="0" w:line="301" w:lineRule="auto"/>
        <w:rPr>
          <w:sz w:val="20"/>
          <w:szCs w:val="20"/>
          <w:color w:val="auto"/>
        </w:rPr>
      </w:pPr>
      <w:r>
        <w:rPr>
          <w:rFonts w:ascii="Arial" w:cs="Arial" w:eastAsia="Arial" w:hAnsi="Arial"/>
          <w:sz w:val="16"/>
          <w:szCs w:val="16"/>
          <w:color w:val="auto"/>
        </w:rPr>
        <w:t>The Company’s effective tax rate will typically differ from the statutory federal rate as a result of state income taxes, primarily in the states of Louisiana, North Dakota, and Texas, due to percentage depletion in excess of basis, enhanced oil recovery credit, and other permanent differences. The following table presents the reconciliation of the Company’s income taxes calculated at the statutory federal tax rate to the income tax (expense) benefit (in thousands).</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124"/>
              <w:spacing w:after="0"/>
              <w:rPr>
                <w:sz w:val="20"/>
                <w:szCs w:val="20"/>
                <w:color w:val="auto"/>
              </w:rPr>
            </w:pPr>
            <w:r>
              <w:rPr>
                <w:rFonts w:ascii="Arial" w:cs="Arial" w:eastAsia="Arial" w:hAnsi="Arial"/>
                <w:sz w:val="16"/>
                <w:szCs w:val="16"/>
                <w:b w:val="1"/>
                <w:bCs w:val="1"/>
                <w:color w:val="auto"/>
                <w:w w:val="95"/>
              </w:rPr>
              <w:t>% of Income</w:t>
            </w: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139"/>
              <w:spacing w:after="0"/>
              <w:rPr>
                <w:sz w:val="20"/>
                <w:szCs w:val="20"/>
                <w:color w:val="auto"/>
              </w:rPr>
            </w:pPr>
            <w:r>
              <w:rPr>
                <w:rFonts w:ascii="Arial" w:cs="Arial" w:eastAsia="Arial" w:hAnsi="Arial"/>
                <w:sz w:val="16"/>
                <w:szCs w:val="16"/>
                <w:b w:val="1"/>
                <w:bCs w:val="1"/>
                <w:color w:val="auto"/>
                <w:w w:val="93"/>
              </w:rPr>
              <w:t>% of Income</w:t>
            </w:r>
          </w:p>
        </w:tc>
      </w:tr>
      <w:tr>
        <w:trPr>
          <w:trHeight w:val="203"/>
        </w:trPr>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124"/>
              <w:spacing w:after="0"/>
              <w:rPr>
                <w:sz w:val="20"/>
                <w:szCs w:val="20"/>
                <w:color w:val="auto"/>
              </w:rPr>
            </w:pPr>
            <w:r>
              <w:rPr>
                <w:rFonts w:ascii="Arial" w:cs="Arial" w:eastAsia="Arial" w:hAnsi="Arial"/>
                <w:sz w:val="16"/>
                <w:szCs w:val="16"/>
                <w:b w:val="1"/>
                <w:bCs w:val="1"/>
                <w:color w:val="auto"/>
                <w:w w:val="90"/>
              </w:rPr>
              <w:t>Before</w:t>
            </w: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119"/>
              <w:spacing w:after="0"/>
              <w:rPr>
                <w:sz w:val="20"/>
                <w:szCs w:val="20"/>
                <w:color w:val="auto"/>
              </w:rPr>
            </w:pPr>
            <w:r>
              <w:rPr>
                <w:rFonts w:ascii="Arial" w:cs="Arial" w:eastAsia="Arial" w:hAnsi="Arial"/>
                <w:sz w:val="16"/>
                <w:szCs w:val="16"/>
                <w:b w:val="1"/>
                <w:bCs w:val="1"/>
                <w:color w:val="auto"/>
                <w:w w:val="90"/>
              </w:rPr>
              <w:t>Before</w:t>
            </w:r>
          </w:p>
        </w:tc>
      </w:tr>
      <w:tr>
        <w:trPr>
          <w:trHeight w:val="210"/>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ind w:left="40"/>
              <w:spacing w:after="0"/>
              <w:rPr>
                <w:sz w:val="20"/>
                <w:szCs w:val="20"/>
                <w:color w:val="auto"/>
              </w:rPr>
            </w:pPr>
            <w:r>
              <w:rPr>
                <w:rFonts w:ascii="Arial" w:cs="Arial" w:eastAsia="Arial" w:hAnsi="Arial"/>
                <w:sz w:val="16"/>
                <w:szCs w:val="16"/>
                <w:b w:val="1"/>
                <w:bCs w:val="1"/>
                <w:color w:val="auto"/>
              </w:rPr>
              <w:t>June 30, 2023</w:t>
            </w:r>
          </w:p>
        </w:tc>
        <w:tc>
          <w:tcPr>
            <w:tcW w:w="1220" w:type="dxa"/>
            <w:vAlign w:val="bottom"/>
            <w:gridSpan w:val="2"/>
          </w:tcPr>
          <w:p>
            <w:pPr>
              <w:jc w:val="center"/>
              <w:ind w:right="124"/>
              <w:spacing w:after="0"/>
              <w:rPr>
                <w:sz w:val="20"/>
                <w:szCs w:val="20"/>
                <w:color w:val="auto"/>
              </w:rPr>
            </w:pPr>
            <w:r>
              <w:rPr>
                <w:rFonts w:ascii="Arial" w:cs="Arial" w:eastAsia="Arial" w:hAnsi="Arial"/>
                <w:sz w:val="16"/>
                <w:szCs w:val="16"/>
                <w:b w:val="1"/>
                <w:bCs w:val="1"/>
                <w:color w:val="auto"/>
                <w:w w:val="88"/>
              </w:rPr>
              <w:t>Income Taxes</w:t>
            </w:r>
          </w:p>
        </w:tc>
        <w:tc>
          <w:tcPr>
            <w:tcW w:w="1240" w:type="dxa"/>
            <w:vAlign w:val="bottom"/>
            <w:gridSpan w:val="3"/>
          </w:tcPr>
          <w:p>
            <w:pPr>
              <w:ind w:left="40"/>
              <w:spacing w:after="0"/>
              <w:rPr>
                <w:sz w:val="20"/>
                <w:szCs w:val="20"/>
                <w:color w:val="auto"/>
              </w:rPr>
            </w:pPr>
            <w:r>
              <w:rPr>
                <w:rFonts w:ascii="Arial" w:cs="Arial" w:eastAsia="Arial" w:hAnsi="Arial"/>
                <w:sz w:val="16"/>
                <w:szCs w:val="16"/>
                <w:b w:val="1"/>
                <w:bCs w:val="1"/>
                <w:color w:val="auto"/>
              </w:rPr>
              <w:t>June 30, 2022</w:t>
            </w:r>
          </w:p>
        </w:tc>
        <w:tc>
          <w:tcPr>
            <w:tcW w:w="1180" w:type="dxa"/>
            <w:vAlign w:val="bottom"/>
            <w:gridSpan w:val="2"/>
          </w:tcPr>
          <w:p>
            <w:pPr>
              <w:jc w:val="center"/>
              <w:ind w:right="119"/>
              <w:spacing w:after="0"/>
              <w:rPr>
                <w:sz w:val="20"/>
                <w:szCs w:val="20"/>
                <w:color w:val="auto"/>
              </w:rPr>
            </w:pPr>
            <w:r>
              <w:rPr>
                <w:rFonts w:ascii="Arial" w:cs="Arial" w:eastAsia="Arial" w:hAnsi="Arial"/>
                <w:sz w:val="16"/>
                <w:szCs w:val="16"/>
                <w:b w:val="1"/>
                <w:bCs w:val="1"/>
                <w:color w:val="auto"/>
                <w:w w:val="88"/>
              </w:rPr>
              <w:t>Income Taxes</w:t>
            </w:r>
          </w:p>
        </w:tc>
      </w:tr>
      <w:tr>
        <w:trPr>
          <w:trHeight w:val="175"/>
        </w:trPr>
        <w:tc>
          <w:tcPr>
            <w:tcW w:w="3940" w:type="dxa"/>
            <w:vAlign w:val="bottom"/>
            <w:tcBorders>
              <w:top w:val="single" w:sz="8" w:color="CCEEFF"/>
            </w:tcBorders>
            <w:shd w:val="clear" w:color="auto" w:fill="CCEEFF"/>
          </w:tcPr>
          <w:p>
            <w:pPr>
              <w:spacing w:after="0" w:line="175" w:lineRule="exact"/>
              <w:rPr>
                <w:sz w:val="20"/>
                <w:szCs w:val="20"/>
                <w:color w:val="auto"/>
              </w:rPr>
            </w:pPr>
            <w:r>
              <w:rPr>
                <w:rFonts w:ascii="Arial" w:cs="Arial" w:eastAsia="Arial" w:hAnsi="Arial"/>
                <w:sz w:val="16"/>
                <w:szCs w:val="16"/>
                <w:b w:val="1"/>
                <w:bCs w:val="1"/>
                <w:color w:val="auto"/>
                <w:w w:val="93"/>
              </w:rPr>
              <w:t>Income tax (expense) benefit computed at the statutory</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federal rate:</w:t>
            </w:r>
          </w:p>
        </w:tc>
        <w:tc>
          <w:tcPr>
            <w:tcW w:w="380" w:type="dxa"/>
            <w:vAlign w:val="bottom"/>
            <w:gridSpan w:val="2"/>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(9,511)</w:t>
            </w:r>
          </w:p>
        </w:tc>
        <w:tc>
          <w:tcPr>
            <w:tcW w:w="18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62"/>
              <w:spacing w:after="0"/>
              <w:rPr>
                <w:sz w:val="20"/>
                <w:szCs w:val="20"/>
                <w:color w:val="auto"/>
              </w:rPr>
            </w:pPr>
            <w:r>
              <w:rPr>
                <w:rFonts w:ascii="Arial" w:cs="Arial" w:eastAsia="Arial" w:hAnsi="Arial"/>
                <w:sz w:val="16"/>
                <w:szCs w:val="16"/>
                <w:color w:val="auto"/>
              </w:rPr>
              <w:t>21.0 % $</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03"/>
        </w:trPr>
        <w:tc>
          <w:tcPr>
            <w:tcW w:w="3940" w:type="dxa"/>
            <w:vAlign w:val="bottom"/>
          </w:tcPr>
          <w:p>
            <w:pPr>
              <w:spacing w:after="0"/>
              <w:rPr>
                <w:sz w:val="20"/>
                <w:szCs w:val="20"/>
                <w:color w:val="auto"/>
              </w:rPr>
            </w:pPr>
            <w:r>
              <w:rPr>
                <w:rFonts w:ascii="Arial" w:cs="Arial" w:eastAsia="Arial" w:hAnsi="Arial"/>
                <w:sz w:val="16"/>
                <w:szCs w:val="16"/>
                <w:color w:val="auto"/>
              </w:rPr>
              <w:t>Reconciling items: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Depletion in excess of tax basis</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03"/>
        </w:trPr>
        <w:tc>
          <w:tcPr>
            <w:tcW w:w="3940" w:type="dxa"/>
            <w:vAlign w:val="bottom"/>
          </w:tcPr>
          <w:p>
            <w:pPr>
              <w:spacing w:after="0"/>
              <w:rPr>
                <w:sz w:val="20"/>
                <w:szCs w:val="20"/>
                <w:color w:val="auto"/>
              </w:rPr>
            </w:pPr>
            <w:r>
              <w:rPr>
                <w:rFonts w:ascii="Arial" w:cs="Arial" w:eastAsia="Arial" w:hAnsi="Arial"/>
                <w:sz w:val="16"/>
                <w:szCs w:val="16"/>
                <w:color w:val="auto"/>
              </w:rPr>
              <w:t>State income taxes, net of federal tax benefit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(734)</w:t>
            </w:r>
          </w:p>
        </w:tc>
        <w:tc>
          <w:tcPr>
            <w:tcW w:w="18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1.6 %</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(1,020)</w:t>
            </w:r>
          </w:p>
        </w:tc>
        <w:tc>
          <w:tcPr>
            <w:tcW w:w="20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2.5 %</w:t>
            </w:r>
          </w:p>
        </w:tc>
      </w:tr>
      <w:tr>
        <w:trPr>
          <w:trHeight w:val="193"/>
        </w:trPr>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w w:val="91"/>
              </w:rPr>
              <w:t>Permanent differences related to stock-based compensation</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12"/>
        </w:trPr>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and other</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03"/>
        </w:trPr>
        <w:tc>
          <w:tcPr>
            <w:tcW w:w="3940" w:type="dxa"/>
            <w:vAlign w:val="bottom"/>
          </w:tcPr>
          <w:p>
            <w:pPr>
              <w:spacing w:after="0"/>
              <w:rPr>
                <w:sz w:val="20"/>
                <w:szCs w:val="20"/>
                <w:color w:val="auto"/>
              </w:rPr>
            </w:pPr>
            <w:r>
              <w:rPr>
                <w:rFonts w:ascii="Arial" w:cs="Arial" w:eastAsia="Arial" w:hAnsi="Arial"/>
                <w:sz w:val="16"/>
                <w:szCs w:val="16"/>
                <w:color w:val="auto"/>
              </w:rPr>
              <w:t>Federal valuation allowance</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623</w:t>
            </w:r>
          </w:p>
        </w:tc>
        <w:tc>
          <w:tcPr>
            <w:tcW w:w="20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(1.5)%</w:t>
            </w:r>
          </w:p>
        </w:tc>
      </w:tr>
      <w:tr>
        <w:trPr>
          <w:trHeight w:val="203"/>
        </w:trPr>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EOR credit benefit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03"/>
        </w:trPr>
        <w:tc>
          <w:tcPr>
            <w:tcW w:w="3940" w:type="dxa"/>
            <w:vAlign w:val="bottom"/>
          </w:tcPr>
          <w:p>
            <w:pPr>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(46)</w:t>
            </w:r>
          </w:p>
        </w:tc>
        <w:tc>
          <w:tcPr>
            <w:tcW w:w="20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0.1 %</w:t>
            </w:r>
          </w:p>
        </w:tc>
      </w:tr>
      <w:tr>
        <w:trPr>
          <w:trHeight w:val="196"/>
        </w:trPr>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Income tax (expense) benefit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2"/>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(10,072)</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4"/>
              </w:rPr>
              <w:t>%</w:t>
            </w:r>
          </w:p>
        </w:tc>
        <w:tc>
          <w:tcPr>
            <w:tcW w:w="320" w:type="dxa"/>
            <w:vAlign w:val="bottom"/>
            <w:tcBorders>
              <w:top w:val="single" w:sz="8" w:color="auto"/>
              <w:bottom w:val="single" w:sz="8" w:color="auto"/>
            </w:tcBorders>
            <w:shd w:val="clear" w:color="auto" w:fill="CCEEFF"/>
          </w:tcPr>
          <w:p>
            <w:pPr>
              <w:jc w:val="right"/>
              <w:ind w:right="162"/>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(8,513)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r>
      <w:tr>
        <w:trPr>
          <w:trHeight w:val="20"/>
        </w:trPr>
        <w:tc>
          <w:tcPr>
            <w:tcW w:w="3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39"/>
        <w:spacing w:after="0" w:line="259" w:lineRule="auto"/>
        <w:rPr>
          <w:sz w:val="20"/>
          <w:szCs w:val="20"/>
          <w:color w:val="auto"/>
        </w:rPr>
      </w:pPr>
      <w:r>
        <w:rPr>
          <w:rFonts w:ascii="Arial" w:cs="Arial" w:eastAsia="Arial" w:hAnsi="Arial"/>
          <w:sz w:val="18"/>
          <w:szCs w:val="18"/>
          <w:color w:val="auto"/>
        </w:rPr>
        <w:t>In certain prior years, the Company undertook a project to seek potential cash tax savings opportunities identifying available Enhanced Oil Recovery credits (“EOR credits”) related to its interests in the Delhi Field. During the year ended June 30, 2022, the Company recognized an income tax benefit of $0.4 million attributable to the EOR credit. The EOR credit was not available for fiscal year 2023.</w:t>
      </w:r>
    </w:p>
    <w:p>
      <w:pPr>
        <w:spacing w:after="0" w:line="187" w:lineRule="exact"/>
        <w:rPr>
          <w:sz w:val="20"/>
          <w:szCs w:val="20"/>
          <w:color w:val="auto"/>
        </w:rPr>
      </w:pPr>
    </w:p>
    <w:p>
      <w:pPr>
        <w:ind w:left="60" w:right="99"/>
        <w:spacing w:after="0" w:line="275" w:lineRule="auto"/>
        <w:rPr>
          <w:sz w:val="20"/>
          <w:szCs w:val="20"/>
          <w:color w:val="auto"/>
        </w:rPr>
      </w:pPr>
      <w:r>
        <w:rPr>
          <w:rFonts w:ascii="Arial" w:cs="Arial" w:eastAsia="Arial" w:hAnsi="Arial"/>
          <w:sz w:val="17"/>
          <w:szCs w:val="17"/>
          <w:color w:val="auto"/>
        </w:rPr>
        <w:t>In the prior year, the Company released its valuation allowance of $0.6 million. The Company considered all positive and negative evidence to assess the likelihood that it will be able to realize its deferred tax assets. Realization is dependent on generating sufficient taxable income over the period the deferred tax assets are deductible. For the three-year period ending June 30, 2022, the Company was in a cumulative income position. Based on the weight of available evidence, the Company believed that is more likely than not that the deferred tax assets will be realized.</w:t>
      </w:r>
    </w:p>
    <w:p>
      <w:pPr>
        <w:spacing w:after="0" w:line="176" w:lineRule="exact"/>
        <w:rPr>
          <w:sz w:val="20"/>
          <w:szCs w:val="20"/>
          <w:color w:val="auto"/>
        </w:rPr>
      </w:pPr>
    </w:p>
    <w:p>
      <w:pPr>
        <w:ind w:left="60" w:right="99"/>
        <w:spacing w:after="0" w:line="286" w:lineRule="auto"/>
        <w:rPr>
          <w:sz w:val="20"/>
          <w:szCs w:val="20"/>
          <w:color w:val="auto"/>
        </w:rPr>
      </w:pPr>
      <w:r>
        <w:rPr>
          <w:rFonts w:ascii="Arial" w:cs="Arial" w:eastAsia="Arial" w:hAnsi="Arial"/>
          <w:sz w:val="17"/>
          <w:szCs w:val="17"/>
          <w:color w:val="auto"/>
        </w:rPr>
        <w:t>Deferred income taxes primarily represent the net tax effect of temporary differences between the carrying amounts of assets and liabilities for financial reporting purposes and the amounts used for income tax purposes. The components of net deferred income tax assets (liabilities) recognized are as follows (in thousands):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EVOLUTION PETROLEUM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9" w:lineRule="exact"/>
        <w:rPr>
          <w:sz w:val="20"/>
          <w:szCs w:val="20"/>
          <w:color w:val="auto"/>
        </w:rPr>
      </w:pPr>
    </w:p>
    <w:tbl>
      <w:tblPr>
        <w:tblLayout w:type="fixed"/>
        <w:tblInd w:w="9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24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8"/>
              </w:rPr>
              <w:t>June 30, 2023</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0"/>
              </w:rPr>
              <w:t>June 30, 2022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Deferred tax assets: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tcPr>
          <w:p>
            <w:pPr>
              <w:ind w:left="100"/>
              <w:spacing w:after="0"/>
              <w:rPr>
                <w:sz w:val="20"/>
                <w:szCs w:val="20"/>
                <w:color w:val="auto"/>
              </w:rPr>
            </w:pPr>
            <w:r>
              <w:rPr>
                <w:rFonts w:ascii="Arial" w:cs="Arial" w:eastAsia="Arial" w:hAnsi="Arial"/>
                <w:sz w:val="16"/>
                <w:szCs w:val="16"/>
                <w:color w:val="auto"/>
              </w:rPr>
              <w:t>Non-qualified stock-based compensation</w:t>
            </w:r>
          </w:p>
        </w:tc>
        <w:tc>
          <w:tcPr>
            <w:tcW w:w="4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250</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9"/>
              </w:rPr>
              <w:t>Net operating loss carry-forwards and other carry-forwards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tcPr>
          <w:p>
            <w:pPr>
              <w:ind w:left="100"/>
              <w:spacing w:after="0"/>
              <w:rPr>
                <w:sz w:val="20"/>
                <w:szCs w:val="20"/>
                <w:color w:val="auto"/>
              </w:rPr>
            </w:pPr>
            <w:r>
              <w:rPr>
                <w:rFonts w:ascii="Arial" w:cs="Arial" w:eastAsia="Arial" w:hAnsi="Arial"/>
                <w:sz w:val="16"/>
                <w:szCs w:val="16"/>
                <w:color w:val="auto"/>
              </w:rPr>
              <w:t>Derivative losses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Asset retirement obligations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 deferred tax assets</w:t>
            </w:r>
          </w:p>
        </w:tc>
        <w:tc>
          <w:tcPr>
            <w:tcW w:w="3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deferred tax assets</w:t>
            </w:r>
          </w:p>
        </w:tc>
        <w:tc>
          <w:tcPr>
            <w:tcW w:w="3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4,334</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240" w:type="dxa"/>
            <w:vAlign w:val="bottom"/>
          </w:tcPr>
          <w:p>
            <w:pPr>
              <w:spacing w:after="0"/>
              <w:rPr>
                <w:sz w:val="20"/>
                <w:szCs w:val="20"/>
                <w:color w:val="auto"/>
              </w:rPr>
            </w:pPr>
            <w:r>
              <w:rPr>
                <w:rFonts w:ascii="Arial" w:cs="Arial" w:eastAsia="Arial" w:hAnsi="Arial"/>
                <w:sz w:val="16"/>
                <w:szCs w:val="16"/>
                <w:b w:val="1"/>
                <w:bCs w:val="1"/>
                <w:color w:val="auto"/>
              </w:rPr>
              <w:t>Deferred tax liability:</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Oil and natural gas properties</w:t>
            </w:r>
          </w:p>
        </w:tc>
        <w:tc>
          <w:tcPr>
            <w:tcW w:w="3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(11,137)</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(11,006)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240" w:type="dxa"/>
            <w:vAlign w:val="bottom"/>
          </w:tcPr>
          <w:p>
            <w:pPr>
              <w:ind w:left="320"/>
              <w:spacing w:after="0"/>
              <w:rPr>
                <w:sz w:val="20"/>
                <w:szCs w:val="20"/>
                <w:color w:val="auto"/>
              </w:rPr>
            </w:pPr>
            <w:r>
              <w:rPr>
                <w:rFonts w:ascii="Arial" w:cs="Arial" w:eastAsia="Arial" w:hAnsi="Arial"/>
                <w:sz w:val="16"/>
                <w:szCs w:val="16"/>
                <w:i w:val="1"/>
                <w:iCs w:val="1"/>
                <w:color w:val="auto"/>
              </w:rPr>
              <w:t>Total deferred tax liability</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(11,137)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(11,006)</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deferred tax liability</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Derivatives</w:t>
      </w:r>
    </w:p>
    <w:p>
      <w:pPr>
        <w:spacing w:after="0" w:line="229" w:lineRule="exact"/>
        <w:rPr>
          <w:sz w:val="20"/>
          <w:szCs w:val="20"/>
          <w:color w:val="auto"/>
        </w:rPr>
      </w:pPr>
    </w:p>
    <w:p>
      <w:pPr>
        <w:ind w:left="60" w:right="99"/>
        <w:spacing w:after="0" w:line="271" w:lineRule="auto"/>
        <w:rPr>
          <w:sz w:val="20"/>
          <w:szCs w:val="20"/>
          <w:color w:val="auto"/>
        </w:rPr>
      </w:pPr>
      <w:r>
        <w:rPr>
          <w:rFonts w:ascii="Arial" w:cs="Arial" w:eastAsia="Arial" w:hAnsi="Arial"/>
          <w:sz w:val="17"/>
          <w:szCs w:val="17"/>
          <w:color w:val="auto"/>
        </w:rPr>
        <w:t xml:space="preserve">The Company is exposed to certain risks relating to its ongoing business operations, including commodity price risk and interest rate risk. In accordance with the Company’s strategy and the requirements under the Senior Secured Credit Facility (as discussed in Note 5, </w:t>
      </w:r>
      <w:r>
        <w:rPr>
          <w:rFonts w:ascii="Arial" w:cs="Arial" w:eastAsia="Arial" w:hAnsi="Arial"/>
          <w:sz w:val="17"/>
          <w:szCs w:val="17"/>
          <w:i w:val="1"/>
          <w:iCs w:val="1"/>
          <w:color w:val="auto"/>
        </w:rPr>
        <w:t>“Senior Secured Credit Facility”</w:t>
      </w:r>
      <w:r>
        <w:rPr>
          <w:rFonts w:ascii="Arial" w:cs="Arial" w:eastAsia="Arial" w:hAnsi="Arial"/>
          <w:sz w:val="17"/>
          <w:szCs w:val="17"/>
          <w:color w:val="auto"/>
        </w:rPr>
        <w:t>), it may hedge or may be required to hedge a varying portion of anticipated oil and natural gas production for future periods. Derivatives are carried at fair value on the consolidated balance sheets as assets or liabilities, with the changes in the fair value included in the consolidated statements of operations for the period in which the change occurs. The Company’s hedge policies and objectives may change significantly as its operational profile changes or as required under the Senior Secured Credit Facility. The Company does not enter into derivative contracts for speculative trading purposes.</w:t>
      </w:r>
    </w:p>
    <w:p>
      <w:pPr>
        <w:spacing w:after="0" w:line="178" w:lineRule="exact"/>
        <w:rPr>
          <w:sz w:val="20"/>
          <w:szCs w:val="20"/>
          <w:color w:val="auto"/>
        </w:rPr>
      </w:pPr>
    </w:p>
    <w:p>
      <w:pPr>
        <w:ind w:left="60" w:right="499"/>
        <w:spacing w:after="0" w:line="291" w:lineRule="auto"/>
        <w:rPr>
          <w:sz w:val="20"/>
          <w:szCs w:val="20"/>
          <w:color w:val="auto"/>
        </w:rPr>
      </w:pPr>
      <w:r>
        <w:rPr>
          <w:rFonts w:ascii="Arial" w:cs="Arial" w:eastAsia="Arial" w:hAnsi="Arial"/>
          <w:sz w:val="16"/>
          <w:szCs w:val="16"/>
          <w:color w:val="auto"/>
        </w:rPr>
        <w:t>It is the Company’s policy to enter into derivative contracts only with counterparties that are creditworthy financial or commodity hedging institutions deemed by management as competent and competitive market makers. As of</w:t>
      </w:r>
    </w:p>
    <w:p>
      <w:pPr>
        <w:ind w:left="60" w:right="159"/>
        <w:spacing w:after="0" w:line="255" w:lineRule="auto"/>
        <w:rPr>
          <w:sz w:val="20"/>
          <w:szCs w:val="20"/>
          <w:color w:val="auto"/>
        </w:rPr>
      </w:pPr>
      <w:r>
        <w:rPr>
          <w:rFonts w:ascii="Arial" w:cs="Arial" w:eastAsia="Arial" w:hAnsi="Arial"/>
          <w:sz w:val="18"/>
          <w:szCs w:val="18"/>
          <w:color w:val="auto"/>
        </w:rPr>
        <w:t>June 30, 2023, all of the Company’s derivative contracts had expired. The Company has no open derivative contracts as of June 30, 2023, and the Company did not post collateral under any of its derivative contracts during the year as they were secured under the Company’s Senior Secured Credit Facility.</w:t>
      </w:r>
    </w:p>
    <w:p>
      <w:pPr>
        <w:spacing w:after="0" w:line="190" w:lineRule="exact"/>
        <w:rPr>
          <w:sz w:val="20"/>
          <w:szCs w:val="20"/>
          <w:color w:val="auto"/>
        </w:rPr>
      </w:pPr>
    </w:p>
    <w:p>
      <w:pPr>
        <w:ind w:left="60" w:right="119"/>
        <w:spacing w:after="0" w:line="254" w:lineRule="auto"/>
        <w:rPr>
          <w:sz w:val="20"/>
          <w:szCs w:val="20"/>
          <w:color w:val="auto"/>
        </w:rPr>
      </w:pPr>
      <w:r>
        <w:rPr>
          <w:rFonts w:ascii="Arial" w:cs="Arial" w:eastAsia="Arial" w:hAnsi="Arial"/>
          <w:sz w:val="18"/>
          <w:szCs w:val="18"/>
          <w:color w:val="auto"/>
        </w:rPr>
        <w:t>The Company has in the past and may utilize in the future costless put/call collars and fixed-price swaps to hedge a portion of its anticipated future production. A costless collar consists of a sold call, which establishes a maximum price the Company will receive for the volumes under contract, and a purchased put that establishes a minimum price. Fixed-price swaps are designed so that the Company receives or makes payments based on a differential between fixed and variable prices for the volumes under contract. The Company has elected not to designate its open derivative contracts for hedge accounting. Accordingly, the Company records the net change in the mark-to-market valuation of the derivative contracts and all payments and receipts on settled derivative contracts in “</w:t>
      </w:r>
      <w:r>
        <w:rPr>
          <w:rFonts w:ascii="Arial" w:cs="Arial" w:eastAsia="Arial" w:hAnsi="Arial"/>
          <w:sz w:val="18"/>
          <w:szCs w:val="18"/>
          <w:i w:val="1"/>
          <w:iCs w:val="1"/>
          <w:color w:val="auto"/>
        </w:rPr>
        <w:t>Net gain (loss) on derivative contracts</w:t>
      </w:r>
      <w:r>
        <w:rPr>
          <w:rFonts w:ascii="Arial" w:cs="Arial" w:eastAsia="Arial" w:hAnsi="Arial"/>
          <w:sz w:val="18"/>
          <w:szCs w:val="18"/>
          <w:color w:val="auto"/>
        </w:rPr>
        <w:t>” on the consolidated statements of operations.</w:t>
      </w:r>
    </w:p>
    <w:p>
      <w:pPr>
        <w:spacing w:after="0" w:line="192" w:lineRule="exact"/>
        <w:rPr>
          <w:sz w:val="20"/>
          <w:szCs w:val="20"/>
          <w:color w:val="auto"/>
        </w:rPr>
      </w:pPr>
    </w:p>
    <w:p>
      <w:pPr>
        <w:ind w:left="60" w:right="59"/>
        <w:spacing w:after="0" w:line="301" w:lineRule="auto"/>
        <w:rPr>
          <w:sz w:val="20"/>
          <w:szCs w:val="20"/>
          <w:color w:val="auto"/>
        </w:rPr>
      </w:pPr>
      <w:r>
        <w:rPr>
          <w:rFonts w:ascii="Arial" w:cs="Arial" w:eastAsia="Arial" w:hAnsi="Arial"/>
          <w:sz w:val="16"/>
          <w:szCs w:val="16"/>
          <w:color w:val="auto"/>
        </w:rPr>
        <w:t xml:space="preserve">All derivative contracts are recorded at fair market value in accordance with ASC 815 and ASC 820,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Measurement </w:t>
      </w:r>
      <w:r>
        <w:rPr>
          <w:rFonts w:ascii="Arial" w:cs="Arial" w:eastAsia="Arial" w:hAnsi="Arial"/>
          <w:sz w:val="16"/>
          <w:szCs w:val="16"/>
          <w:color w:val="auto"/>
        </w:rPr>
        <w:t>(“ASC 820”) and included in the consolidated balance sheets as assets or liabilities. The</w:t>
      </w:r>
      <w:r>
        <w:rPr>
          <w:rFonts w:ascii="Arial" w:cs="Arial" w:eastAsia="Arial" w:hAnsi="Arial"/>
          <w:sz w:val="16"/>
          <w:szCs w:val="16"/>
          <w:i w:val="1"/>
          <w:iCs w:val="1"/>
          <w:color w:val="auto"/>
        </w:rPr>
        <w:t xml:space="preserve"> “Derivative contract assets” </w:t>
      </w:r>
      <w:r>
        <w:rPr>
          <w:rFonts w:ascii="Arial" w:cs="Arial" w:eastAsia="Arial" w:hAnsi="Arial"/>
          <w:sz w:val="16"/>
          <w:szCs w:val="16"/>
          <w:color w:val="auto"/>
        </w:rPr>
        <w:t>and</w:t>
      </w:r>
      <w:r>
        <w:rPr>
          <w:rFonts w:ascii="Arial" w:cs="Arial" w:eastAsia="Arial" w:hAnsi="Arial"/>
          <w:sz w:val="16"/>
          <w:szCs w:val="16"/>
          <w:i w:val="1"/>
          <w:iCs w:val="1"/>
          <w:color w:val="auto"/>
        </w:rPr>
        <w:t xml:space="preserve"> “Derivative contract liabilities” </w:t>
      </w:r>
      <w:r>
        <w:rPr>
          <w:rFonts w:ascii="Arial" w:cs="Arial" w:eastAsia="Arial" w:hAnsi="Arial"/>
          <w:sz w:val="16"/>
          <w:szCs w:val="16"/>
          <w:color w:val="auto"/>
        </w:rPr>
        <w:t>represent the difference between the market commodity prices and the hedged</w:t>
      </w:r>
      <w:r>
        <w:rPr>
          <w:rFonts w:ascii="Arial" w:cs="Arial" w:eastAsia="Arial" w:hAnsi="Arial"/>
          <w:sz w:val="16"/>
          <w:szCs w:val="16"/>
          <w:i w:val="1"/>
          <w:iCs w:val="1"/>
          <w:color w:val="auto"/>
        </w:rPr>
        <w:t xml:space="preserve"> </w:t>
      </w:r>
      <w:r>
        <w:rPr>
          <w:rFonts w:ascii="Arial" w:cs="Arial" w:eastAsia="Arial" w:hAnsi="Arial"/>
          <w:sz w:val="16"/>
          <w:szCs w:val="16"/>
          <w:color w:val="auto"/>
        </w:rPr>
        <w:t>prices for the remaining volumes of production hedges as of June 30, 2022 (the “mark-to-market valuation”).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EVOLUTION PETROLEUM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The following table summarizes the location and fair value amounts of all derivative contracts in the consolidated balance sheets as of June 30, 2023 and 2022 (in thousands):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140" w:type="dxa"/>
            <w:vAlign w:val="bottom"/>
          </w:tcPr>
          <w:p>
            <w:pPr>
              <w:spacing w:after="0"/>
              <w:rPr>
                <w:sz w:val="20"/>
                <w:szCs w:val="20"/>
                <w:color w:val="auto"/>
              </w:rPr>
            </w:pPr>
            <w:r>
              <w:rPr>
                <w:rFonts w:ascii="Arial" w:cs="Arial" w:eastAsia="Arial" w:hAnsi="Arial"/>
                <w:sz w:val="14"/>
                <w:szCs w:val="14"/>
                <w:b w:val="1"/>
                <w:bCs w:val="1"/>
                <w:color w:val="auto"/>
              </w:rPr>
              <w:t>Derivatives not designated</w:t>
            </w:r>
          </w:p>
        </w:tc>
        <w:tc>
          <w:tcPr>
            <w:tcW w:w="140" w:type="dxa"/>
            <w:vAlign w:val="bottom"/>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Balance sheet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4"/>
            <w:vMerge w:val="restart"/>
          </w:tcPr>
          <w:p>
            <w:pPr>
              <w:jc w:val="right"/>
              <w:ind w:right="68"/>
              <w:spacing w:after="0"/>
              <w:rPr>
                <w:sz w:val="20"/>
                <w:szCs w:val="20"/>
                <w:color w:val="auto"/>
              </w:rPr>
            </w:pPr>
            <w:r>
              <w:rPr>
                <w:rFonts w:ascii="Arial" w:cs="Arial" w:eastAsia="Arial" w:hAnsi="Arial"/>
                <w:sz w:val="14"/>
                <w:szCs w:val="14"/>
                <w:b w:val="1"/>
                <w:bCs w:val="1"/>
                <w:color w:val="auto"/>
                <w:w w:val="93"/>
              </w:rPr>
              <w:t>Derivative Contract Assets</w:t>
            </w:r>
          </w:p>
        </w:tc>
        <w:tc>
          <w:tcPr>
            <w:tcW w:w="160" w:type="dxa"/>
            <w:vAlign w:val="bottom"/>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Balance sheet</w:t>
            </w:r>
          </w:p>
        </w:tc>
        <w:tc>
          <w:tcPr>
            <w:tcW w:w="140" w:type="dxa"/>
            <w:vAlign w:val="bottom"/>
          </w:tcPr>
          <w:p>
            <w:pPr>
              <w:spacing w:after="0"/>
              <w:rPr>
                <w:sz w:val="14"/>
                <w:szCs w:val="14"/>
                <w:color w:val="auto"/>
              </w:rPr>
            </w:pPr>
          </w:p>
        </w:tc>
        <w:tc>
          <w:tcPr>
            <w:tcW w:w="198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w w:val="97"/>
              </w:rPr>
              <w:t>Derivative Contract Liabilities</w:t>
            </w:r>
          </w:p>
        </w:tc>
        <w:tc>
          <w:tcPr>
            <w:tcW w:w="0" w:type="dxa"/>
            <w:vAlign w:val="bottom"/>
          </w:tcPr>
          <w:p>
            <w:pPr>
              <w:spacing w:after="0"/>
              <w:rPr>
                <w:sz w:val="1"/>
                <w:szCs w:val="1"/>
                <w:color w:val="auto"/>
              </w:rPr>
            </w:pPr>
          </w:p>
        </w:tc>
      </w:tr>
      <w:tr>
        <w:trPr>
          <w:trHeight w:val="171"/>
        </w:trPr>
        <w:tc>
          <w:tcPr>
            <w:tcW w:w="2140" w:type="dxa"/>
            <w:vAlign w:val="bottom"/>
          </w:tcPr>
          <w:p>
            <w:pPr>
              <w:spacing w:after="0"/>
              <w:rPr>
                <w:sz w:val="20"/>
                <w:szCs w:val="20"/>
                <w:color w:val="auto"/>
              </w:rPr>
            </w:pPr>
            <w:r>
              <w:rPr>
                <w:rFonts w:ascii="Arial" w:cs="Arial" w:eastAsia="Arial" w:hAnsi="Arial"/>
                <w:sz w:val="14"/>
                <w:szCs w:val="14"/>
                <w:b w:val="1"/>
                <w:bCs w:val="1"/>
                <w:color w:val="auto"/>
              </w:rPr>
              <w:t>as hedging contracts</w:t>
            </w: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tcBorders>
              <w:bottom w:val="single" w:sz="8" w:color="auto"/>
            </w:tcBorders>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under ASC 815</w:t>
            </w:r>
          </w:p>
        </w:tc>
        <w:tc>
          <w:tcPr>
            <w:tcW w:w="14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location</w:t>
            </w:r>
          </w:p>
        </w:tc>
        <w:tc>
          <w:tcPr>
            <w:tcW w:w="16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June 30, 2023</w:t>
            </w:r>
          </w:p>
        </w:tc>
        <w:tc>
          <w:tcPr>
            <w:tcW w:w="16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June 30, 2022</w:t>
            </w:r>
          </w:p>
        </w:tc>
        <w:tc>
          <w:tcPr>
            <w:tcW w:w="16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location</w:t>
            </w:r>
          </w:p>
        </w:tc>
        <w:tc>
          <w:tcPr>
            <w:tcW w:w="14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w w:val="94"/>
              </w:rPr>
              <w:t>June 30, 2023</w:t>
            </w:r>
          </w:p>
        </w:tc>
        <w:tc>
          <w:tcPr>
            <w:tcW w:w="16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June 30, 2022</w:t>
            </w:r>
          </w:p>
        </w:tc>
        <w:tc>
          <w:tcPr>
            <w:tcW w:w="0" w:type="dxa"/>
            <w:vAlign w:val="bottom"/>
          </w:tcPr>
          <w:p>
            <w:pPr>
              <w:spacing w:after="0"/>
              <w:rPr>
                <w:sz w:val="1"/>
                <w:szCs w:val="1"/>
                <w:color w:val="auto"/>
              </w:rPr>
            </w:pPr>
          </w:p>
        </w:tc>
      </w:tr>
      <w:tr>
        <w:trPr>
          <w:trHeight w:val="123"/>
        </w:trPr>
        <w:tc>
          <w:tcPr>
            <w:tcW w:w="2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Current assets -</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w w:val="99"/>
              </w:rPr>
              <w:t>Current liabilities -</w:t>
            </w: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w w:val="96"/>
              </w:rPr>
              <w:t>derivative contract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derivative contract</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40" w:type="dxa"/>
            <w:vAlign w:val="bottom"/>
            <w:shd w:val="clear" w:color="auto" w:fill="CCEEFF"/>
          </w:tcPr>
          <w:p>
            <w:pPr>
              <w:spacing w:after="0"/>
              <w:rPr>
                <w:sz w:val="20"/>
                <w:szCs w:val="20"/>
                <w:color w:val="auto"/>
              </w:rPr>
            </w:pPr>
            <w:r>
              <w:rPr>
                <w:rFonts w:ascii="Arial" w:cs="Arial" w:eastAsia="Arial" w:hAnsi="Arial"/>
                <w:sz w:val="14"/>
                <w:szCs w:val="14"/>
                <w:color w:val="auto"/>
              </w:rPr>
              <w:t>Commodity contracts</w:t>
            </w:r>
          </w:p>
        </w:tc>
        <w:tc>
          <w:tcPr>
            <w:tcW w:w="1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assets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liabilities</w:t>
            </w:r>
          </w:p>
        </w:tc>
        <w:tc>
          <w:tcPr>
            <w:tcW w:w="54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2,164</w:t>
            </w:r>
          </w:p>
        </w:tc>
        <w:tc>
          <w:tcPr>
            <w:tcW w:w="0" w:type="dxa"/>
            <w:vAlign w:val="bottom"/>
          </w:tcPr>
          <w:p>
            <w:pPr>
              <w:spacing w:after="0"/>
              <w:rPr>
                <w:sz w:val="1"/>
                <w:szCs w:val="1"/>
                <w:color w:val="auto"/>
              </w:rPr>
            </w:pPr>
          </w:p>
        </w:tc>
      </w:tr>
      <w:tr>
        <w:trPr>
          <w:trHeight w:val="130"/>
        </w:trPr>
        <w:tc>
          <w:tcPr>
            <w:tcW w:w="2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00" w:type="dxa"/>
            <w:vAlign w:val="bottom"/>
            <w:gridSpan w:val="2"/>
          </w:tcPr>
          <w:p>
            <w:pPr>
              <w:ind w:left="140"/>
              <w:spacing w:after="0" w:line="130" w:lineRule="exact"/>
              <w:rPr>
                <w:sz w:val="20"/>
                <w:szCs w:val="20"/>
                <w:color w:val="auto"/>
              </w:rPr>
            </w:pPr>
            <w:r>
              <w:rPr>
                <w:rFonts w:ascii="Arial" w:cs="Arial" w:eastAsia="Arial" w:hAnsi="Arial"/>
                <w:sz w:val="14"/>
                <w:szCs w:val="14"/>
                <w:color w:val="auto"/>
              </w:rPr>
              <w:t>Long term</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12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Other assets -</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liabilities -</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126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6"/>
              </w:rPr>
              <w:t>derivative contract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derivative contract</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Commodity contracts</w:t>
            </w:r>
          </w:p>
        </w:tc>
        <w:tc>
          <w:tcPr>
            <w:tcW w:w="1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assets</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liabilities</w:t>
            </w:r>
          </w:p>
        </w:tc>
        <w:tc>
          <w:tcPr>
            <w:tcW w:w="14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0"/>
        </w:trPr>
        <w:tc>
          <w:tcPr>
            <w:tcW w:w="214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rPr>
              <w:t>Total derivatives not designated as</w:t>
            </w:r>
          </w:p>
        </w:tc>
        <w:tc>
          <w:tcPr>
            <w:tcW w:w="1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500" w:type="dxa"/>
            <w:vAlign w:val="bottom"/>
            <w:gridSpan w:val="2"/>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6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520" w:type="dxa"/>
            <w:vAlign w:val="bottom"/>
            <w:vMerge w:val="restart"/>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440" w:type="dxa"/>
            <w:vAlign w:val="bottom"/>
            <w:gridSpan w:val="2"/>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2,164</w:t>
            </w:r>
          </w:p>
        </w:tc>
        <w:tc>
          <w:tcPr>
            <w:tcW w:w="0" w:type="dxa"/>
            <w:vAlign w:val="bottom"/>
          </w:tcPr>
          <w:p>
            <w:pPr>
              <w:spacing w:after="0"/>
              <w:rPr>
                <w:sz w:val="1"/>
                <w:szCs w:val="1"/>
                <w:color w:val="auto"/>
              </w:rPr>
            </w:pPr>
          </w:p>
        </w:tc>
      </w:tr>
      <w:tr>
        <w:trPr>
          <w:trHeight w:val="154"/>
        </w:trPr>
        <w:tc>
          <w:tcPr>
            <w:tcW w:w="2140" w:type="dxa"/>
            <w:vAlign w:val="bottom"/>
            <w:shd w:val="clear" w:color="auto" w:fill="CCEEFF"/>
          </w:tcPr>
          <w:p>
            <w:pPr>
              <w:spacing w:after="0" w:line="154" w:lineRule="exact"/>
              <w:rPr>
                <w:sz w:val="20"/>
                <w:szCs w:val="20"/>
                <w:color w:val="auto"/>
              </w:rPr>
            </w:pPr>
            <w:r>
              <w:rPr>
                <w:rFonts w:ascii="Arial" w:cs="Arial" w:eastAsia="Arial" w:hAnsi="Arial"/>
                <w:sz w:val="14"/>
                <w:szCs w:val="14"/>
                <w:color w:val="auto"/>
              </w:rPr>
              <w:t>hedging contracts under ASC 815</w:t>
            </w: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60" w:type="dxa"/>
            <w:vAlign w:val="bottom"/>
            <w:gridSpan w:val="2"/>
            <w:vMerge w:val="continue"/>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440" w:type="dxa"/>
            <w:vAlign w:val="bottom"/>
            <w:gridSpan w:val="2"/>
            <w:vMerge w:val="continue"/>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The following table summarizes the location and amounts of the Company’s realized and unrealized gains and losses on derivative contracts in the Company’s consolidated statements of operations for the years ended June 30, 2023 and 2022 (in thousands). “</w:t>
      </w:r>
      <w:r>
        <w:rPr>
          <w:rFonts w:ascii="Arial" w:cs="Arial" w:eastAsia="Arial" w:hAnsi="Arial"/>
          <w:sz w:val="18"/>
          <w:szCs w:val="18"/>
          <w:i w:val="1"/>
          <w:iCs w:val="1"/>
          <w:color w:val="auto"/>
        </w:rPr>
        <w:t>Realized gain (loss) on derivative contracts”</w:t>
      </w:r>
      <w:r>
        <w:rPr>
          <w:rFonts w:ascii="Arial" w:cs="Arial" w:eastAsia="Arial" w:hAnsi="Arial"/>
          <w:sz w:val="18"/>
          <w:szCs w:val="18"/>
          <w:color w:val="auto"/>
        </w:rPr>
        <w:t xml:space="preserve"> represents all receipts (payments) on derivative contracts settled during the period. “</w:t>
      </w:r>
      <w:r>
        <w:rPr>
          <w:rFonts w:ascii="Arial" w:cs="Arial" w:eastAsia="Arial" w:hAnsi="Arial"/>
          <w:sz w:val="18"/>
          <w:szCs w:val="18"/>
          <w:i w:val="1"/>
          <w:iCs w:val="1"/>
          <w:color w:val="auto"/>
        </w:rPr>
        <w:t>Unrealized gain (loss) on derivative contracts”</w:t>
      </w:r>
      <w:r>
        <w:rPr>
          <w:rFonts w:ascii="Arial" w:cs="Arial" w:eastAsia="Arial" w:hAnsi="Arial"/>
          <w:sz w:val="18"/>
          <w:szCs w:val="18"/>
          <w:color w:val="auto"/>
        </w:rPr>
        <w:t xml:space="preserve"> represents the net change in the mark-to-market valuation of the derivative contracts.</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780" w:type="dxa"/>
            <w:vAlign w:val="bottom"/>
            <w:gridSpan w:val="2"/>
          </w:tcPr>
          <w:p>
            <w:pPr>
              <w:spacing w:after="0"/>
              <w:rPr>
                <w:sz w:val="20"/>
                <w:szCs w:val="20"/>
                <w:color w:val="auto"/>
              </w:rPr>
            </w:pPr>
            <w:r>
              <w:rPr>
                <w:rFonts w:ascii="Arial" w:cs="Arial" w:eastAsia="Arial" w:hAnsi="Arial"/>
                <w:sz w:val="14"/>
                <w:szCs w:val="14"/>
                <w:b w:val="1"/>
                <w:bCs w:val="1"/>
                <w:color w:val="auto"/>
              </w:rPr>
              <w:t>Derivatives not designated</w:t>
            </w:r>
          </w:p>
        </w:tc>
        <w:tc>
          <w:tcPr>
            <w:tcW w:w="2480" w:type="dxa"/>
            <w:vAlign w:val="bottom"/>
            <w:gridSpan w:val="2"/>
          </w:tcPr>
          <w:p>
            <w:pPr>
              <w:ind w:left="160"/>
              <w:spacing w:after="0"/>
              <w:rPr>
                <w:sz w:val="20"/>
                <w:szCs w:val="20"/>
                <w:color w:val="auto"/>
              </w:rPr>
            </w:pPr>
            <w:r>
              <w:rPr>
                <w:rFonts w:ascii="Arial" w:cs="Arial" w:eastAsia="Arial" w:hAnsi="Arial"/>
                <w:sz w:val="14"/>
                <w:szCs w:val="14"/>
                <w:b w:val="1"/>
                <w:bCs w:val="1"/>
                <w:color w:val="auto"/>
              </w:rPr>
              <w:t>Location of gain (loss)</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4"/>
            <w:vMerge w:val="restart"/>
          </w:tcPr>
          <w:p>
            <w:pPr>
              <w:jc w:val="right"/>
              <w:ind w:right="528"/>
              <w:spacing w:after="0"/>
              <w:rPr>
                <w:sz w:val="20"/>
                <w:szCs w:val="20"/>
                <w:color w:val="auto"/>
              </w:rPr>
            </w:pPr>
            <w:r>
              <w:rPr>
                <w:rFonts w:ascii="Arial" w:cs="Arial" w:eastAsia="Arial" w:hAnsi="Arial"/>
                <w:sz w:val="14"/>
                <w:szCs w:val="14"/>
                <w:b w:val="1"/>
                <w:bCs w:val="1"/>
                <w:color w:val="auto"/>
              </w:rPr>
              <w:t>Years Ended June 30,</w:t>
            </w:r>
          </w:p>
        </w:tc>
        <w:tc>
          <w:tcPr>
            <w:tcW w:w="0" w:type="dxa"/>
            <w:vAlign w:val="bottom"/>
          </w:tcPr>
          <w:p>
            <w:pPr>
              <w:spacing w:after="0"/>
              <w:rPr>
                <w:sz w:val="1"/>
                <w:szCs w:val="1"/>
                <w:color w:val="auto"/>
              </w:rPr>
            </w:pPr>
          </w:p>
        </w:tc>
      </w:tr>
      <w:tr>
        <w:trPr>
          <w:trHeight w:val="171"/>
        </w:trPr>
        <w:tc>
          <w:tcPr>
            <w:tcW w:w="3780" w:type="dxa"/>
            <w:vAlign w:val="bottom"/>
            <w:gridSpan w:val="2"/>
          </w:tcPr>
          <w:p>
            <w:pPr>
              <w:spacing w:after="0"/>
              <w:rPr>
                <w:sz w:val="20"/>
                <w:szCs w:val="20"/>
                <w:color w:val="auto"/>
              </w:rPr>
            </w:pPr>
            <w:r>
              <w:rPr>
                <w:rFonts w:ascii="Arial" w:cs="Arial" w:eastAsia="Arial" w:hAnsi="Arial"/>
                <w:sz w:val="14"/>
                <w:szCs w:val="14"/>
                <w:b w:val="1"/>
                <w:bCs w:val="1"/>
                <w:color w:val="auto"/>
              </w:rPr>
              <w:t>as hedging contracts</w:t>
            </w:r>
          </w:p>
        </w:tc>
        <w:tc>
          <w:tcPr>
            <w:tcW w:w="2480" w:type="dxa"/>
            <w:vAlign w:val="bottom"/>
            <w:gridSpan w:val="2"/>
          </w:tcPr>
          <w:p>
            <w:pPr>
              <w:ind w:left="160"/>
              <w:spacing w:after="0"/>
              <w:rPr>
                <w:sz w:val="20"/>
                <w:szCs w:val="20"/>
                <w:color w:val="auto"/>
              </w:rPr>
            </w:pPr>
            <w:r>
              <w:rPr>
                <w:rFonts w:ascii="Arial" w:cs="Arial" w:eastAsia="Arial" w:hAnsi="Arial"/>
                <w:sz w:val="14"/>
                <w:szCs w:val="14"/>
                <w:b w:val="1"/>
                <w:bCs w:val="1"/>
                <w:color w:val="auto"/>
              </w:rPr>
              <w:t>recognized in income on</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under ASC 815</w:t>
            </w:r>
          </w:p>
        </w:tc>
        <w:tc>
          <w:tcPr>
            <w:tcW w:w="248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derivative contracts</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ind w:right="388"/>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348"/>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Commodity contracts:</w:t>
            </w:r>
          </w:p>
        </w:tc>
        <w:tc>
          <w:tcPr>
            <w:tcW w:w="160" w:type="dxa"/>
            <w:vAlign w:val="bottom"/>
          </w:tcPr>
          <w:p>
            <w:pPr>
              <w:spacing w:after="0"/>
              <w:rPr>
                <w:sz w:val="12"/>
                <w:szCs w:val="12"/>
                <w:color w:val="auto"/>
              </w:rPr>
            </w:pPr>
          </w:p>
        </w:tc>
        <w:tc>
          <w:tcPr>
            <w:tcW w:w="23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60" w:type="dxa"/>
            <w:vAlign w:val="bottom"/>
            <w:shd w:val="clear" w:color="auto" w:fill="CCEEFF"/>
          </w:tcPr>
          <w:p>
            <w:pPr>
              <w:spacing w:after="0"/>
              <w:rPr>
                <w:sz w:val="11"/>
                <w:szCs w:val="11"/>
                <w:color w:val="auto"/>
              </w:rPr>
            </w:pPr>
          </w:p>
        </w:tc>
        <w:tc>
          <w:tcPr>
            <w:tcW w:w="248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4"/>
                <w:szCs w:val="14"/>
                <w:color w:val="auto"/>
                <w:w w:val="96"/>
              </w:rPr>
              <w:t>Other income and expenses - net gain</w:t>
            </w: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4"/>
                <w:szCs w:val="14"/>
                <w:color w:val="auto"/>
              </w:rPr>
              <w:t>Realized gain (loss) on derivative contracts</w:t>
            </w:r>
          </w:p>
        </w:tc>
        <w:tc>
          <w:tcPr>
            <w:tcW w:w="24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(loss) on derivative contracts</w:t>
            </w:r>
          </w:p>
        </w:tc>
        <w:tc>
          <w:tcPr>
            <w:tcW w:w="420" w:type="dxa"/>
            <w:vAlign w:val="bottom"/>
            <w:gridSpan w:val="2"/>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(1,481)</w:t>
            </w:r>
          </w:p>
        </w:tc>
        <w:tc>
          <w:tcPr>
            <w:tcW w:w="40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2480" w:type="dxa"/>
            <w:vAlign w:val="bottom"/>
            <w:gridSpan w:val="2"/>
          </w:tcPr>
          <w:p>
            <w:pPr>
              <w:ind w:left="160"/>
              <w:spacing w:after="0" w:line="130" w:lineRule="exact"/>
              <w:rPr>
                <w:sz w:val="20"/>
                <w:szCs w:val="20"/>
                <w:color w:val="auto"/>
              </w:rPr>
            </w:pPr>
            <w:r>
              <w:rPr>
                <w:rFonts w:ascii="Arial" w:cs="Arial" w:eastAsia="Arial" w:hAnsi="Arial"/>
                <w:sz w:val="14"/>
                <w:szCs w:val="14"/>
                <w:color w:val="auto"/>
                <w:w w:val="96"/>
              </w:rPr>
              <w:t>Other income and expenses - net gain</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780" w:type="dxa"/>
            <w:vAlign w:val="bottom"/>
            <w:gridSpan w:val="2"/>
          </w:tcPr>
          <w:p>
            <w:pPr>
              <w:spacing w:after="0"/>
              <w:rPr>
                <w:sz w:val="20"/>
                <w:szCs w:val="20"/>
                <w:color w:val="auto"/>
              </w:rPr>
            </w:pPr>
            <w:r>
              <w:rPr>
                <w:rFonts w:ascii="Arial" w:cs="Arial" w:eastAsia="Arial" w:hAnsi="Arial"/>
                <w:sz w:val="14"/>
                <w:szCs w:val="14"/>
                <w:color w:val="auto"/>
              </w:rPr>
              <w:t>Unrealized gain (loss) on derivative contracts</w:t>
            </w:r>
          </w:p>
        </w:tc>
        <w:tc>
          <w:tcPr>
            <w:tcW w:w="2480" w:type="dxa"/>
            <w:vAlign w:val="bottom"/>
            <w:gridSpan w:val="2"/>
          </w:tcPr>
          <w:p>
            <w:pPr>
              <w:ind w:left="160"/>
              <w:spacing w:after="0"/>
              <w:rPr>
                <w:sz w:val="20"/>
                <w:szCs w:val="20"/>
                <w:color w:val="auto"/>
              </w:rPr>
            </w:pPr>
            <w:r>
              <w:rPr>
                <w:rFonts w:ascii="Arial" w:cs="Arial" w:eastAsia="Arial" w:hAnsi="Arial"/>
                <w:sz w:val="14"/>
                <w:szCs w:val="14"/>
                <w:color w:val="auto"/>
              </w:rPr>
              <w:t>(loss) on derivative contracts</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1,994</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(1,994)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net gain (loss) on derivative contracts</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3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513</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color w:val="auto"/>
        </w:rPr>
        <w:t>The Company presents the fair value of its derivative contracts at the gross amounts in the consolidated balance sheets. The following table shows the potential effects of master netting arrangements on the fair value of the Company’s derivative contracts as of June 30, 2022 (in thousands):</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480" w:type="dxa"/>
            <w:vAlign w:val="bottom"/>
            <w:vMerge w:val="restart"/>
          </w:tcPr>
          <w:p>
            <w:pPr>
              <w:spacing w:after="0"/>
              <w:rPr>
                <w:sz w:val="20"/>
                <w:szCs w:val="20"/>
                <w:color w:val="auto"/>
              </w:rPr>
            </w:pPr>
            <w:r>
              <w:rPr>
                <w:rFonts w:ascii="Arial" w:cs="Arial" w:eastAsia="Arial" w:hAnsi="Arial"/>
                <w:sz w:val="14"/>
                <w:szCs w:val="14"/>
                <w:b w:val="1"/>
                <w:bCs w:val="1"/>
                <w:color w:val="auto"/>
              </w:rPr>
              <w:t>Offsetting of Derivative Assets and Liabilities</w:t>
            </w:r>
          </w:p>
        </w:tc>
        <w:tc>
          <w:tcPr>
            <w:tcW w:w="240" w:type="dxa"/>
            <w:vAlign w:val="bottom"/>
          </w:tcPr>
          <w:p>
            <w:pPr>
              <w:spacing w:after="0"/>
              <w:rPr>
                <w:sz w:val="14"/>
                <w:szCs w:val="14"/>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Derivative Contracts Assets</w:t>
            </w:r>
          </w:p>
        </w:tc>
        <w:tc>
          <w:tcPr>
            <w:tcW w:w="3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97"/>
              </w:rPr>
              <w:t>Derivative Contracts Liabilities</w:t>
            </w:r>
          </w:p>
        </w:tc>
        <w:tc>
          <w:tcPr>
            <w:tcW w:w="0" w:type="dxa"/>
            <w:vAlign w:val="bottom"/>
          </w:tcPr>
          <w:p>
            <w:pPr>
              <w:spacing w:after="0"/>
              <w:rPr>
                <w:sz w:val="1"/>
                <w:szCs w:val="1"/>
                <w:color w:val="auto"/>
              </w:rPr>
            </w:pPr>
          </w:p>
        </w:tc>
      </w:tr>
      <w:tr>
        <w:trPr>
          <w:trHeight w:val="142"/>
        </w:trPr>
        <w:tc>
          <w:tcPr>
            <w:tcW w:w="348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100" w:type="dxa"/>
            <w:vAlign w:val="bottom"/>
            <w:tcBorders>
              <w:bottom w:val="single" w:sz="8" w:color="auto"/>
            </w:tcBorders>
          </w:tcPr>
          <w:p>
            <w:pPr>
              <w:jc w:val="right"/>
              <w:ind w:right="388"/>
              <w:spacing w:after="0" w:line="142" w:lineRule="exact"/>
              <w:rPr>
                <w:sz w:val="20"/>
                <w:szCs w:val="20"/>
                <w:color w:val="auto"/>
              </w:rPr>
            </w:pPr>
            <w:r>
              <w:rPr>
                <w:rFonts w:ascii="Arial" w:cs="Arial" w:eastAsia="Arial" w:hAnsi="Arial"/>
                <w:sz w:val="14"/>
                <w:szCs w:val="14"/>
                <w:b w:val="1"/>
                <w:bCs w:val="1"/>
                <w:color w:val="auto"/>
              </w:rPr>
              <w:t>June 30, 2022</w:t>
            </w:r>
          </w:p>
        </w:tc>
        <w:tc>
          <w:tcPr>
            <w:tcW w:w="36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tcPr>
          <w:p>
            <w:pPr>
              <w:jc w:val="right"/>
              <w:ind w:right="748"/>
              <w:spacing w:after="0" w:line="142" w:lineRule="exact"/>
              <w:rPr>
                <w:sz w:val="20"/>
                <w:szCs w:val="20"/>
                <w:color w:val="auto"/>
              </w:rPr>
            </w:pPr>
            <w:r>
              <w:rPr>
                <w:rFonts w:ascii="Arial" w:cs="Arial" w:eastAsia="Arial" w:hAnsi="Arial"/>
                <w:sz w:val="14"/>
                <w:szCs w:val="14"/>
                <w:b w:val="1"/>
                <w:bCs w:val="1"/>
                <w:color w:val="auto"/>
              </w:rPr>
              <w:t>June 30, 2022</w:t>
            </w:r>
          </w:p>
        </w:tc>
        <w:tc>
          <w:tcPr>
            <w:tcW w:w="0" w:type="dxa"/>
            <w:vAlign w:val="bottom"/>
          </w:tcPr>
          <w:p>
            <w:pPr>
              <w:spacing w:after="0"/>
              <w:rPr>
                <w:sz w:val="1"/>
                <w:szCs w:val="1"/>
                <w:color w:val="auto"/>
              </w:rPr>
            </w:pPr>
          </w:p>
        </w:tc>
      </w:tr>
      <w:tr>
        <w:trPr>
          <w:trHeight w:val="142"/>
        </w:trPr>
        <w:tc>
          <w:tcPr>
            <w:tcW w:w="34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91"/>
              </w:rPr>
              <w:t>Gross amounts presented in the Consolidated Balance Sheet</w:t>
            </w:r>
          </w:p>
        </w:tc>
        <w:tc>
          <w:tcPr>
            <w:tcW w:w="240" w:type="dxa"/>
            <w:vAlign w:val="bottom"/>
            <w:shd w:val="clear" w:color="auto" w:fill="CCEEFF"/>
          </w:tcPr>
          <w:p>
            <w:pPr>
              <w:spacing w:after="0"/>
              <w:rPr>
                <w:sz w:val="12"/>
                <w:szCs w:val="12"/>
                <w:color w:val="auto"/>
              </w:rPr>
            </w:pPr>
          </w:p>
        </w:tc>
        <w:tc>
          <w:tcPr>
            <w:tcW w:w="2100" w:type="dxa"/>
            <w:vAlign w:val="bottom"/>
            <w:shd w:val="clear" w:color="auto" w:fill="CCEEFF"/>
          </w:tcPr>
          <w:p>
            <w:pPr>
              <w:jc w:val="right"/>
              <w:ind w:right="1948"/>
              <w:spacing w:after="0" w:line="142" w:lineRule="exact"/>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170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23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2,164</w:t>
            </w:r>
          </w:p>
        </w:tc>
        <w:tc>
          <w:tcPr>
            <w:tcW w:w="0" w:type="dxa"/>
            <w:vAlign w:val="bottom"/>
          </w:tcPr>
          <w:p>
            <w:pPr>
              <w:spacing w:after="0"/>
              <w:rPr>
                <w:sz w:val="1"/>
                <w:szCs w:val="1"/>
                <w:color w:val="auto"/>
              </w:rPr>
            </w:pPr>
          </w:p>
        </w:tc>
      </w:tr>
      <w:tr>
        <w:trPr>
          <w:trHeight w:val="148"/>
        </w:trPr>
        <w:tc>
          <w:tcPr>
            <w:tcW w:w="34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Amounts not offset in the Consolidated Balance Sheet</w:t>
            </w:r>
          </w:p>
        </w:tc>
        <w:tc>
          <w:tcPr>
            <w:tcW w:w="240" w:type="dxa"/>
            <w:vAlign w:val="bottom"/>
            <w:tcBorders>
              <w:bottom w:val="single" w:sz="8" w:color="CCEEFF"/>
            </w:tcBorders>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7"/>
              </w:rPr>
              <w:t>(170)</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42"/>
        </w:trPr>
        <w:tc>
          <w:tcPr>
            <w:tcW w:w="348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amount</w:t>
            </w:r>
          </w:p>
        </w:tc>
        <w:tc>
          <w:tcPr>
            <w:tcW w:w="240" w:type="dxa"/>
            <w:vAlign w:val="bottom"/>
            <w:tcBorders>
              <w:bottom w:val="single" w:sz="8" w:color="CCEEFF"/>
            </w:tcBorders>
            <w:shd w:val="clear" w:color="auto" w:fill="CCEEFF"/>
          </w:tcPr>
          <w:p>
            <w:pPr>
              <w:spacing w:after="0"/>
              <w:rPr>
                <w:sz w:val="12"/>
                <w:szCs w:val="12"/>
                <w:color w:val="auto"/>
              </w:rPr>
            </w:pPr>
          </w:p>
        </w:tc>
        <w:tc>
          <w:tcPr>
            <w:tcW w:w="2100" w:type="dxa"/>
            <w:vAlign w:val="bottom"/>
            <w:tcBorders>
              <w:bottom w:val="single" w:sz="8" w:color="auto"/>
            </w:tcBorders>
            <w:shd w:val="clear" w:color="auto" w:fill="CCEEFF"/>
          </w:tcPr>
          <w:p>
            <w:pPr>
              <w:jc w:val="right"/>
              <w:ind w:right="1948"/>
              <w:spacing w:after="0" w:line="142" w:lineRule="exact"/>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23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1,994</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99"/>
        <w:spacing w:after="0" w:line="301" w:lineRule="auto"/>
        <w:rPr>
          <w:sz w:val="20"/>
          <w:szCs w:val="20"/>
          <w:color w:val="auto"/>
        </w:rPr>
      </w:pPr>
      <w:r>
        <w:rPr>
          <w:rFonts w:ascii="Arial" w:cs="Arial" w:eastAsia="Arial" w:hAnsi="Arial"/>
          <w:sz w:val="16"/>
          <w:szCs w:val="16"/>
          <w:color w:val="auto"/>
        </w:rPr>
        <w:t>The Company enters into an ISDA with each counterparty prior to a derivative contract with such counterparty. The ISDA is a standard contract that governs all derivative contracts entered into between the Company and the respective counterparty. The ISDA allows for offsetting of amounts payable or receivable between the Company and the counterparty, at the election of both parties, for transactions that occur on the same date and in the same currency.</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Fair Value Measurement</w:t>
      </w:r>
    </w:p>
    <w:p>
      <w:pPr>
        <w:spacing w:after="0" w:line="229" w:lineRule="exact"/>
        <w:rPr>
          <w:sz w:val="20"/>
          <w:szCs w:val="20"/>
          <w:color w:val="auto"/>
        </w:rPr>
      </w:pPr>
    </w:p>
    <w:p>
      <w:pPr>
        <w:ind w:left="60" w:right="259"/>
        <w:spacing w:after="0" w:line="263" w:lineRule="auto"/>
        <w:rPr>
          <w:sz w:val="20"/>
          <w:szCs w:val="20"/>
          <w:color w:val="auto"/>
        </w:rPr>
      </w:pPr>
      <w:r>
        <w:rPr>
          <w:rFonts w:ascii="Arial" w:cs="Arial" w:eastAsia="Arial" w:hAnsi="Arial"/>
          <w:sz w:val="18"/>
          <w:szCs w:val="18"/>
          <w:color w:val="auto"/>
        </w:rPr>
        <w:t>Accounting guidelines for measuring fair value establish a three-level valuation hierarchy for disclosure of fair value measurements. The valuation hierarchy categorizes assets and liabilities measured at fair value into one of three different levels depending on the observability of the inputs employed in the measurement.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8" w:name="page69"/>
    <w:bookmarkEnd w:id="6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EVOLUTION PETROLEUM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three levels are defined as follows:</w:t>
      </w:r>
    </w:p>
    <w:p>
      <w:pPr>
        <w:spacing w:after="0" w:line="225" w:lineRule="exact"/>
        <w:rPr>
          <w:sz w:val="20"/>
          <w:szCs w:val="20"/>
          <w:color w:val="auto"/>
        </w:rPr>
      </w:pPr>
    </w:p>
    <w:p>
      <w:pPr>
        <w:ind w:left="700" w:right="679"/>
        <w:spacing w:after="0" w:line="277" w:lineRule="auto"/>
        <w:rPr>
          <w:sz w:val="20"/>
          <w:szCs w:val="20"/>
          <w:color w:val="auto"/>
        </w:rPr>
      </w:pPr>
      <w:r>
        <w:rPr>
          <w:rFonts w:ascii="Arial" w:cs="Arial" w:eastAsia="Arial" w:hAnsi="Arial"/>
          <w:sz w:val="18"/>
          <w:szCs w:val="18"/>
          <w:color w:val="auto"/>
        </w:rPr>
        <w:t>Level 1—Observable inputs such as quoted prices in active markets at the measurement date for identical, unrestricted assets or liabilities.</w:t>
      </w:r>
    </w:p>
    <w:p>
      <w:pPr>
        <w:spacing w:after="0" w:line="170" w:lineRule="exact"/>
        <w:rPr>
          <w:sz w:val="20"/>
          <w:szCs w:val="20"/>
          <w:color w:val="auto"/>
        </w:rPr>
      </w:pPr>
    </w:p>
    <w:p>
      <w:pPr>
        <w:ind w:left="700" w:right="379"/>
        <w:spacing w:after="0" w:line="263" w:lineRule="auto"/>
        <w:rPr>
          <w:sz w:val="20"/>
          <w:szCs w:val="20"/>
          <w:color w:val="auto"/>
        </w:rPr>
      </w:pPr>
      <w:r>
        <w:rPr>
          <w:rFonts w:ascii="Arial" w:cs="Arial" w:eastAsia="Arial" w:hAnsi="Arial"/>
          <w:sz w:val="18"/>
          <w:szCs w:val="18"/>
          <w:color w:val="auto"/>
        </w:rPr>
        <w:t>Level 2—Other inputs that are observable directly or indirectly, such as quoted prices in markets that are not active or inputs which are observable, either directly or indirectly, for substantially the full term of the asset or liability.</w:t>
      </w:r>
    </w:p>
    <w:p>
      <w:pPr>
        <w:spacing w:after="0" w:line="184" w:lineRule="exact"/>
        <w:rPr>
          <w:sz w:val="20"/>
          <w:szCs w:val="20"/>
          <w:color w:val="auto"/>
        </w:rPr>
      </w:pPr>
    </w:p>
    <w:p>
      <w:pPr>
        <w:ind w:left="700" w:right="139"/>
        <w:spacing w:after="0" w:line="277" w:lineRule="auto"/>
        <w:rPr>
          <w:sz w:val="20"/>
          <w:szCs w:val="20"/>
          <w:color w:val="auto"/>
        </w:rPr>
      </w:pPr>
      <w:r>
        <w:rPr>
          <w:rFonts w:ascii="Arial" w:cs="Arial" w:eastAsia="Arial" w:hAnsi="Arial"/>
          <w:sz w:val="18"/>
          <w:szCs w:val="18"/>
          <w:color w:val="auto"/>
        </w:rPr>
        <w:t>Level 3—Unobservable inputs for which there are little or no market data and which the Company makes its own assumptions about how market participants would price the assets and liabilities.</w:t>
      </w:r>
    </w:p>
    <w:p>
      <w:pPr>
        <w:spacing w:after="0" w:line="170" w:lineRule="exact"/>
        <w:rPr>
          <w:sz w:val="20"/>
          <w:szCs w:val="20"/>
          <w:color w:val="auto"/>
        </w:rPr>
      </w:pPr>
    </w:p>
    <w:p>
      <w:pPr>
        <w:ind w:left="60" w:right="79"/>
        <w:spacing w:after="0" w:line="289" w:lineRule="auto"/>
        <w:rPr>
          <w:sz w:val="20"/>
          <w:szCs w:val="20"/>
          <w:color w:val="auto"/>
        </w:rPr>
      </w:pPr>
      <w:r>
        <w:rPr>
          <w:rFonts w:ascii="Arial" w:cs="Arial" w:eastAsia="Arial" w:hAnsi="Arial"/>
          <w:sz w:val="16"/>
          <w:szCs w:val="16"/>
          <w:i w:val="1"/>
          <w:iCs w:val="1"/>
          <w:color w:val="auto"/>
        </w:rPr>
        <w:t xml:space="preserve">Fair Value of Derivative Instruments. </w:t>
      </w:r>
      <w:r>
        <w:rPr>
          <w:rFonts w:ascii="Arial" w:cs="Arial" w:eastAsia="Arial" w:hAnsi="Arial"/>
          <w:sz w:val="16"/>
          <w:szCs w:val="16"/>
          <w:color w:val="auto"/>
        </w:rPr>
        <w:t>The Company’s determination of fair value incorporates not only the credit 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counterparties involved in transactions with the Company resulting in receivables on the Company’s consolidated balance sheets, but also the impact of the Company’s nonperformance risk on its own liabilities. Fair value is defined as the price that would be received to sell an asset or paid to transfer a liability in an orderly transaction between market participants at the measurement date. ASC 820 establishes a fair value hierarchy that prioritizes the inputs to valuation techniques used to measure fair value. The Company utilizes market data or assumptions that market participants would use in pricing the asset or liability, including assumptions about risk and the risks inherent in the inputs to the valuation technique. These inputs can be readily observable (Level 1) market corroborated (Level 2), or generally unobservable (Level 3). The Company classifies fair value balances based on observability of those inputs.</w:t>
      </w:r>
    </w:p>
    <w:p>
      <w:pPr>
        <w:spacing w:after="0" w:line="166" w:lineRule="exact"/>
        <w:rPr>
          <w:sz w:val="20"/>
          <w:szCs w:val="20"/>
          <w:color w:val="auto"/>
        </w:rPr>
      </w:pPr>
    </w:p>
    <w:p>
      <w:pPr>
        <w:ind w:left="60" w:right="119"/>
        <w:spacing w:after="0" w:line="254" w:lineRule="auto"/>
        <w:rPr>
          <w:sz w:val="20"/>
          <w:szCs w:val="20"/>
          <w:color w:val="auto"/>
        </w:rPr>
      </w:pPr>
      <w:r>
        <w:rPr>
          <w:rFonts w:ascii="Arial" w:cs="Arial" w:eastAsia="Arial" w:hAnsi="Arial"/>
          <w:sz w:val="18"/>
          <w:szCs w:val="18"/>
          <w:color w:val="auto"/>
        </w:rPr>
        <w:t>As required by ASC 820, a financial instrument’s level within the fair value hierarchy is based on the lowest level of input that is significant to the fair value measurement. The Company’s assessment of the significance of a particular input to the fair value measurement requires judgment, and may affect the valuation of fair value assets and liabilities and their placement within the fair value hierarchy levels. There were no transfers between fair value hierarchy levels for any period presented. The following table, set forth by level within the fair value hierarchy, shows the Company’s financial assets and liabilities that were accounted for at fair value as of June 30, 2022 (in thousands). The Company did not have any open positions as of June 30, 2023.</w:t>
      </w:r>
    </w:p>
    <w:p>
      <w:pPr>
        <w:spacing w:after="0" w:line="209" w:lineRule="exact"/>
        <w:rPr>
          <w:sz w:val="20"/>
          <w:szCs w:val="20"/>
          <w:color w:val="auto"/>
        </w:rPr>
      </w:pPr>
    </w:p>
    <w:tbl>
      <w:tblPr>
        <w:tblLayout w:type="fixed"/>
        <w:tblInd w:w="132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ind w:left="360"/>
              <w:spacing w:after="0"/>
              <w:rPr>
                <w:sz w:val="20"/>
                <w:szCs w:val="20"/>
                <w:color w:val="auto"/>
              </w:rPr>
            </w:pPr>
            <w:r>
              <w:rPr>
                <w:rFonts w:ascii="Arial" w:cs="Arial" w:eastAsia="Arial" w:hAnsi="Arial"/>
                <w:sz w:val="16"/>
                <w:szCs w:val="16"/>
                <w:b w:val="1"/>
                <w:bCs w:val="1"/>
                <w:color w:val="auto"/>
              </w:rPr>
              <w:t>June 30, 2022</w:t>
            </w: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1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Level 1</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5"/>
              </w:rPr>
              <w:t>Level 2</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Level 3</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6"/>
                <w:szCs w:val="16"/>
                <w:color w:val="auto"/>
              </w:rPr>
              <w:t>Assets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60" w:type="dxa"/>
            <w:vAlign w:val="bottom"/>
          </w:tcPr>
          <w:p>
            <w:pPr>
              <w:ind w:left="100"/>
              <w:spacing w:after="0"/>
              <w:rPr>
                <w:sz w:val="20"/>
                <w:szCs w:val="20"/>
                <w:color w:val="auto"/>
              </w:rPr>
            </w:pPr>
            <w:r>
              <w:rPr>
                <w:rFonts w:ascii="Arial" w:cs="Arial" w:eastAsia="Arial" w:hAnsi="Arial"/>
                <w:sz w:val="16"/>
                <w:szCs w:val="16"/>
                <w:color w:val="auto"/>
              </w:rPr>
              <w:t>Derivative contract assets</w:t>
            </w:r>
          </w:p>
        </w:tc>
        <w:tc>
          <w:tcPr>
            <w:tcW w:w="3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tcPr>
          <w:p>
            <w:pPr>
              <w:ind w:left="520"/>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170</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tcPr>
          <w:p>
            <w:pPr>
              <w:ind w:left="520"/>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160" w:type="dxa"/>
            <w:vAlign w:val="bottom"/>
          </w:tcPr>
          <w:p>
            <w:pPr>
              <w:spacing w:after="0"/>
              <w:rPr>
                <w:sz w:val="20"/>
                <w:szCs w:val="20"/>
                <w:color w:val="auto"/>
              </w:rPr>
            </w:pPr>
            <w:r>
              <w:rPr>
                <w:rFonts w:ascii="Arial" w:cs="Arial" w:eastAsia="Arial" w:hAnsi="Arial"/>
                <w:sz w:val="16"/>
                <w:szCs w:val="16"/>
                <w:color w:val="auto"/>
              </w:rPr>
              <w:t>Liabilities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Derivative contract liabilities</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19"/>
        <w:spacing w:after="0" w:line="293" w:lineRule="auto"/>
        <w:rPr>
          <w:sz w:val="20"/>
          <w:szCs w:val="20"/>
          <w:color w:val="auto"/>
        </w:rPr>
      </w:pPr>
      <w:r>
        <w:rPr>
          <w:rFonts w:ascii="Arial" w:cs="Arial" w:eastAsia="Arial" w:hAnsi="Arial"/>
          <w:sz w:val="16"/>
          <w:szCs w:val="16"/>
          <w:color w:val="auto"/>
        </w:rPr>
        <w:t xml:space="preserve">Derivative contracts listed above as Level 2 include costless put/call collars that are carried at fair value. The Company records the net change in fair value of these positions in </w:t>
      </w:r>
      <w:r>
        <w:rPr>
          <w:rFonts w:ascii="Arial" w:cs="Arial" w:eastAsia="Arial" w:hAnsi="Arial"/>
          <w:sz w:val="16"/>
          <w:szCs w:val="16"/>
          <w:i w:val="1"/>
          <w:iCs w:val="1"/>
          <w:color w:val="auto"/>
        </w:rPr>
        <w:t>“Net gain (loss) on derivative contracts”</w:t>
      </w:r>
      <w:r>
        <w:rPr>
          <w:rFonts w:ascii="Arial" w:cs="Arial" w:eastAsia="Arial" w:hAnsi="Arial"/>
          <w:sz w:val="16"/>
          <w:szCs w:val="16"/>
          <w:color w:val="auto"/>
        </w:rPr>
        <w:t xml:space="preserve"> in the Company’s consolidated statements of operations. The Company is able to value the assets and liabilities based on observable market data for similar instruments, which resulted in the Company reporting its derivatives as Level 2. This observable data includes the forward curves for commodity prices based on quoted market prices and implied volatility factors related to changes in the forward curves. See Note 7, </w:t>
      </w:r>
      <w:r>
        <w:rPr>
          <w:rFonts w:ascii="Arial" w:cs="Arial" w:eastAsia="Arial" w:hAnsi="Arial"/>
          <w:sz w:val="16"/>
          <w:szCs w:val="16"/>
          <w:i w:val="1"/>
          <w:iCs w:val="1"/>
          <w:color w:val="auto"/>
        </w:rPr>
        <w:t>“Derivatives</w:t>
      </w:r>
      <w:r>
        <w:rPr>
          <w:rFonts w:ascii="Arial" w:cs="Arial" w:eastAsia="Arial" w:hAnsi="Arial"/>
          <w:sz w:val="16"/>
          <w:szCs w:val="16"/>
          <w:color w:val="auto"/>
        </w:rPr>
        <w:t>,” for additional discussion of derivatives.</w:t>
      </w:r>
    </w:p>
    <w:p>
      <w:pPr>
        <w:spacing w:after="0" w:line="164" w:lineRule="exact"/>
        <w:rPr>
          <w:sz w:val="20"/>
          <w:szCs w:val="20"/>
          <w:color w:val="auto"/>
        </w:rPr>
      </w:pPr>
    </w:p>
    <w:p>
      <w:pPr>
        <w:ind w:left="60" w:right="159"/>
        <w:spacing w:after="0" w:line="311" w:lineRule="auto"/>
        <w:rPr>
          <w:sz w:val="20"/>
          <w:szCs w:val="20"/>
          <w:color w:val="auto"/>
        </w:rPr>
      </w:pPr>
      <w:r>
        <w:rPr>
          <w:rFonts w:ascii="Arial" w:cs="Arial" w:eastAsia="Arial" w:hAnsi="Arial"/>
          <w:sz w:val="16"/>
          <w:szCs w:val="16"/>
          <w:color w:val="auto"/>
        </w:rPr>
        <w:t>Historically, the Company’s derivative contracts were with large utilities with investment grade credit ratings which are believed to have minimal credit risk. As such, the Company was exposed to credit risk to the extent of nonperformance by the counterparties in the derivative contracts. To date, the Company has not experienced such nonperformance.</w:t>
      </w:r>
    </w:p>
    <w:p>
      <w:pPr>
        <w:spacing w:after="0" w:line="149" w:lineRule="exact"/>
        <w:rPr>
          <w:sz w:val="20"/>
          <w:szCs w:val="20"/>
          <w:color w:val="auto"/>
        </w:rPr>
      </w:pPr>
    </w:p>
    <w:p>
      <w:pPr>
        <w:ind w:left="60" w:right="299"/>
        <w:spacing w:after="0" w:line="342" w:lineRule="auto"/>
        <w:rPr>
          <w:sz w:val="20"/>
          <w:szCs w:val="20"/>
          <w:color w:val="auto"/>
        </w:rPr>
      </w:pPr>
      <w:r>
        <w:rPr>
          <w:rFonts w:ascii="Arial" w:cs="Arial" w:eastAsia="Arial" w:hAnsi="Arial"/>
          <w:sz w:val="16"/>
          <w:szCs w:val="16"/>
          <w:i w:val="1"/>
          <w:iCs w:val="1"/>
          <w:color w:val="auto"/>
        </w:rPr>
        <w:t xml:space="preserve">Other Fair Value Measurements. </w:t>
      </w:r>
      <w:r>
        <w:rPr>
          <w:rFonts w:ascii="Arial" w:cs="Arial" w:eastAsia="Arial" w:hAnsi="Arial"/>
          <w:sz w:val="16"/>
          <w:szCs w:val="16"/>
          <w:color w:val="auto"/>
        </w:rPr>
        <w:t>The following disclosure of the estimated fair value of financial instruments is made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accordance with the requirements of ASC 825, </w:t>
      </w:r>
      <w:r>
        <w:rPr>
          <w:rFonts w:ascii="Arial" w:cs="Arial" w:eastAsia="Arial" w:hAnsi="Arial"/>
          <w:sz w:val="16"/>
          <w:szCs w:val="16"/>
          <w:i w:val="1"/>
          <w:iCs w:val="1"/>
          <w:color w:val="auto"/>
        </w:rPr>
        <w:t>Financial Instruments</w:t>
      </w:r>
      <w:r>
        <w:rPr>
          <w:rFonts w:ascii="Arial" w:cs="Arial" w:eastAsia="Arial" w:hAnsi="Arial"/>
          <w:sz w:val="16"/>
          <w:szCs w:val="16"/>
          <w:color w:val="auto"/>
        </w:rPr>
        <w:t>. The estimated fair value amounts have been</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9" w:name="page70"/>
    <w:bookmarkEnd w:id="6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EVOLUTION PETROLEUM CORPORATION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60" w:right="499"/>
        <w:spacing w:after="0" w:line="257" w:lineRule="auto"/>
        <w:rPr>
          <w:sz w:val="20"/>
          <w:szCs w:val="20"/>
          <w:color w:val="auto"/>
        </w:rPr>
      </w:pPr>
      <w:r>
        <w:rPr>
          <w:rFonts w:ascii="Arial" w:cs="Arial" w:eastAsia="Arial" w:hAnsi="Arial"/>
          <w:sz w:val="18"/>
          <w:szCs w:val="18"/>
          <w:color w:val="auto"/>
        </w:rPr>
        <w:t>determined at discrete points in time based on relevant market information. These estimates involve uncertainties and cannot be determined with precision. The estimated fair value of cash and cash equivalents, accounts receivable, and accounts payable approximates their carrying value due to their short-term nature. The estimated fair value of the Company’s Senior Secured Credit Facility approximates carrying value because the interest rates approximate current market rates.</w:t>
      </w:r>
    </w:p>
    <w:p>
      <w:pPr>
        <w:spacing w:after="0" w:line="188" w:lineRule="exact"/>
        <w:rPr>
          <w:sz w:val="20"/>
          <w:szCs w:val="20"/>
          <w:color w:val="auto"/>
        </w:rPr>
      </w:pPr>
    </w:p>
    <w:p>
      <w:pPr>
        <w:ind w:left="60" w:right="299"/>
        <w:spacing w:after="0" w:line="291" w:lineRule="auto"/>
        <w:rPr>
          <w:sz w:val="20"/>
          <w:szCs w:val="20"/>
          <w:color w:val="auto"/>
        </w:rPr>
      </w:pPr>
      <w:r>
        <w:rPr>
          <w:rFonts w:ascii="Arial" w:cs="Arial" w:eastAsia="Arial" w:hAnsi="Arial"/>
          <w:sz w:val="16"/>
          <w:szCs w:val="16"/>
          <w:color w:val="auto"/>
        </w:rPr>
        <w:t xml:space="preserve">The Company follows the provisions of ASC 820, for nonfinancial assets and liabilities measured at fair value on a non-recurring basis. These provisions apply to the Company’s initial measurement and any subsequent revision of ARO for which fair value is calculated using discounted future cash flows derived from historical costs and management’s expectations of future cost environments. Significant Level 3 inputs used in the calculation of ARO include the costs of plugging and abandoning wells, surface restoration, and reserve lives. Subsequent to initial recognition, revisions to estimated asset retirement obligations are made when changes occur for input values. See Note 9, </w:t>
      </w:r>
      <w:r>
        <w:rPr>
          <w:rFonts w:ascii="Arial" w:cs="Arial" w:eastAsia="Arial" w:hAnsi="Arial"/>
          <w:sz w:val="16"/>
          <w:szCs w:val="16"/>
          <w:i w:val="1"/>
          <w:iCs w:val="1"/>
          <w:color w:val="auto"/>
        </w:rPr>
        <w:t>“Asset Retirement</w:t>
      </w:r>
      <w:r>
        <w:rPr>
          <w:rFonts w:ascii="Arial" w:cs="Arial" w:eastAsia="Arial" w:hAnsi="Arial"/>
          <w:sz w:val="16"/>
          <w:szCs w:val="16"/>
          <w:color w:val="auto"/>
        </w:rPr>
        <w:t xml:space="preserve"> </w:t>
      </w:r>
      <w:r>
        <w:rPr>
          <w:rFonts w:ascii="Arial" w:cs="Arial" w:eastAsia="Arial" w:hAnsi="Arial"/>
          <w:sz w:val="16"/>
          <w:szCs w:val="16"/>
          <w:i w:val="1"/>
          <w:iCs w:val="1"/>
          <w:color w:val="auto"/>
        </w:rPr>
        <w:t>Obligations</w:t>
      </w:r>
      <w:r>
        <w:rPr>
          <w:rFonts w:ascii="Arial" w:cs="Arial" w:eastAsia="Arial" w:hAnsi="Arial"/>
          <w:sz w:val="16"/>
          <w:szCs w:val="16"/>
          <w:color w:val="auto"/>
        </w:rPr>
        <w:t>,” for a reconciliation of the beginning and ending balances of the liability for the Company’s ARO.</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Asset Retirement Obligations</w:t>
      </w:r>
    </w:p>
    <w:p>
      <w:pPr>
        <w:spacing w:after="0" w:line="229" w:lineRule="exact"/>
        <w:rPr>
          <w:sz w:val="20"/>
          <w:szCs w:val="20"/>
          <w:color w:val="auto"/>
        </w:rPr>
      </w:pPr>
    </w:p>
    <w:p>
      <w:pPr>
        <w:ind w:left="60" w:right="79"/>
        <w:spacing w:after="0" w:line="296" w:lineRule="auto"/>
        <w:rPr>
          <w:sz w:val="20"/>
          <w:szCs w:val="20"/>
          <w:color w:val="auto"/>
        </w:rPr>
      </w:pPr>
      <w:r>
        <w:rPr>
          <w:rFonts w:ascii="Arial" w:cs="Arial" w:eastAsia="Arial" w:hAnsi="Arial"/>
          <w:sz w:val="16"/>
          <w:szCs w:val="16"/>
          <w:color w:val="auto"/>
        </w:rPr>
        <w:t xml:space="preserve">The Company’s ARO represents the estimated present value of the amount expected to be incurred to plug, abandon, and remediate its oil and natural gas properties at the end of their productive lives in accordance with applicable laws and regulations. The Company records the ARO liability on the consolidated balance sheets and capitalizes the cost in </w:t>
      </w:r>
      <w:r>
        <w:rPr>
          <w:rFonts w:ascii="Arial" w:cs="Arial" w:eastAsia="Arial" w:hAnsi="Arial"/>
          <w:sz w:val="16"/>
          <w:szCs w:val="16"/>
          <w:i w:val="1"/>
          <w:iCs w:val="1"/>
          <w:color w:val="auto"/>
        </w:rPr>
        <w:t>“Oil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natural gas properties, net” </w:t>
      </w:r>
      <w:r>
        <w:rPr>
          <w:rFonts w:ascii="Arial" w:cs="Arial" w:eastAsia="Arial" w:hAnsi="Arial"/>
          <w:sz w:val="16"/>
          <w:szCs w:val="16"/>
          <w:color w:val="auto"/>
        </w:rPr>
        <w:t>during the period in which the obligation is incurred. The Company records the accretion of its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ARO liabilities in </w:t>
      </w:r>
      <w:r>
        <w:rPr>
          <w:rFonts w:ascii="Arial" w:cs="Arial" w:eastAsia="Arial" w:hAnsi="Arial"/>
          <w:sz w:val="16"/>
          <w:szCs w:val="16"/>
          <w:i w:val="1"/>
          <w:iCs w:val="1"/>
          <w:color w:val="auto"/>
        </w:rPr>
        <w:t>“Depletion, depreciation and amortization”</w:t>
      </w:r>
      <w:r>
        <w:rPr>
          <w:rFonts w:ascii="Arial" w:cs="Arial" w:eastAsia="Arial" w:hAnsi="Arial"/>
          <w:sz w:val="16"/>
          <w:szCs w:val="16"/>
          <w:color w:val="auto"/>
        </w:rPr>
        <w:t xml:space="preserve"> expense in the consolidated statements of operations.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is a reconciliation of the activity related to the Company’s ARO liability (inclusive of the current portion)</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 the years ended June 30, 2023 and 2022 (in thousands):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920" w:type="dxa"/>
            <w:vAlign w:val="bottom"/>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23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7"/>
              </w:rPr>
              <w:t>June 30, 2023</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6"/>
              </w:rPr>
              <w:t>June 30, 2022</w:t>
            </w:r>
          </w:p>
        </w:tc>
      </w:tr>
      <w:tr>
        <w:trPr>
          <w:trHeight w:val="199"/>
        </w:trPr>
        <w:tc>
          <w:tcPr>
            <w:tcW w:w="920" w:type="dxa"/>
            <w:vAlign w:val="bottom"/>
          </w:tcPr>
          <w:p>
            <w:pPr>
              <w:spacing w:after="0"/>
              <w:rPr>
                <w:sz w:val="17"/>
                <w:szCs w:val="17"/>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 retirement obligations — beginning of period</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13,921</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5,583</w:t>
            </w:r>
          </w:p>
        </w:tc>
      </w:tr>
      <w:tr>
        <w:trPr>
          <w:trHeight w:val="203"/>
        </w:trPr>
        <w:tc>
          <w:tcPr>
            <w:tcW w:w="920" w:type="dxa"/>
            <w:vAlign w:val="bottom"/>
          </w:tcPr>
          <w:p>
            <w:pPr>
              <w:spacing w:after="0"/>
              <w:rPr>
                <w:sz w:val="17"/>
                <w:szCs w:val="17"/>
                <w:color w:val="auto"/>
              </w:rPr>
            </w:pPr>
          </w:p>
        </w:tc>
        <w:tc>
          <w:tcPr>
            <w:tcW w:w="3620" w:type="dxa"/>
            <w:vAlign w:val="bottom"/>
            <w:gridSpan w:val="2"/>
          </w:tcPr>
          <w:p>
            <w:pPr>
              <w:spacing w:after="0"/>
              <w:rPr>
                <w:sz w:val="20"/>
                <w:szCs w:val="20"/>
                <w:color w:val="auto"/>
              </w:rPr>
            </w:pPr>
            <w:r>
              <w:rPr>
                <w:rFonts w:ascii="Arial" w:cs="Arial" w:eastAsia="Arial" w:hAnsi="Arial"/>
                <w:sz w:val="16"/>
                <w:szCs w:val="16"/>
                <w:color w:val="auto"/>
              </w:rPr>
              <w:t>Liabilities incurred</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219</w:t>
            </w:r>
          </w:p>
        </w:tc>
      </w:tr>
      <w:tr>
        <w:trPr>
          <w:trHeight w:val="203"/>
        </w:trPr>
        <w:tc>
          <w:tcPr>
            <w:tcW w:w="920" w:type="dxa"/>
            <w:vAlign w:val="bottom"/>
          </w:tcPr>
          <w:p>
            <w:pPr>
              <w:spacing w:after="0"/>
              <w:rPr>
                <w:sz w:val="17"/>
                <w:szCs w:val="17"/>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Liabilities settled</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03"/>
        </w:trPr>
        <w:tc>
          <w:tcPr>
            <w:tcW w:w="920" w:type="dxa"/>
            <w:vAlign w:val="bottom"/>
          </w:tcPr>
          <w:p>
            <w:pPr>
              <w:spacing w:after="0"/>
              <w:rPr>
                <w:sz w:val="17"/>
                <w:szCs w:val="17"/>
                <w:color w:val="auto"/>
              </w:rPr>
            </w:pPr>
          </w:p>
        </w:tc>
        <w:tc>
          <w:tcPr>
            <w:tcW w:w="3620" w:type="dxa"/>
            <w:vAlign w:val="bottom"/>
            <w:gridSpan w:val="2"/>
          </w:tcPr>
          <w:p>
            <w:pPr>
              <w:spacing w:after="0" w:line="202" w:lineRule="exact"/>
              <w:rPr>
                <w:sz w:val="20"/>
                <w:szCs w:val="20"/>
                <w:color w:val="auto"/>
              </w:rPr>
            </w:pPr>
            <w:r>
              <w:rPr>
                <w:rFonts w:ascii="Arial" w:cs="Arial" w:eastAsia="Arial" w:hAnsi="Arial"/>
                <w:sz w:val="16"/>
                <w:szCs w:val="16"/>
                <w:color w:val="auto"/>
              </w:rPr>
              <w:t>Liabilities acquired</w:t>
            </w:r>
            <w:r>
              <w:rPr>
                <w:rFonts w:ascii="Arial" w:cs="Arial" w:eastAsia="Arial" w:hAnsi="Arial"/>
                <w:sz w:val="23"/>
                <w:szCs w:val="23"/>
                <w:i w:val="1"/>
                <w:iCs w:val="1"/>
                <w:color w:val="auto"/>
                <w:vertAlign w:val="superscript"/>
              </w:rPr>
              <w:t>(1)</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5,400</w:t>
            </w:r>
          </w:p>
        </w:tc>
      </w:tr>
      <w:tr>
        <w:trPr>
          <w:trHeight w:val="203"/>
        </w:trPr>
        <w:tc>
          <w:tcPr>
            <w:tcW w:w="920" w:type="dxa"/>
            <w:vAlign w:val="bottom"/>
          </w:tcPr>
          <w:p>
            <w:pPr>
              <w:spacing w:after="0"/>
              <w:rPr>
                <w:sz w:val="17"/>
                <w:szCs w:val="17"/>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Accretion of discount</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w:t>
            </w:r>
          </w:p>
        </w:tc>
      </w:tr>
      <w:tr>
        <w:trPr>
          <w:trHeight w:val="203"/>
        </w:trPr>
        <w:tc>
          <w:tcPr>
            <w:tcW w:w="920" w:type="dxa"/>
            <w:vAlign w:val="bottom"/>
          </w:tcPr>
          <w:p>
            <w:pPr>
              <w:spacing w:after="0"/>
              <w:rPr>
                <w:sz w:val="17"/>
                <w:szCs w:val="17"/>
                <w:color w:val="auto"/>
              </w:rPr>
            </w:pPr>
          </w:p>
        </w:tc>
        <w:tc>
          <w:tcPr>
            <w:tcW w:w="362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6"/>
                <w:szCs w:val="16"/>
                <w:color w:val="auto"/>
              </w:rPr>
              <w:t>Revisions of previous estimates</w:t>
            </w:r>
            <w:r>
              <w:rPr>
                <w:rFonts w:ascii="Arial" w:cs="Arial" w:eastAsia="Arial" w:hAnsi="Arial"/>
                <w:sz w:val="23"/>
                <w:szCs w:val="23"/>
                <w:i w:val="1"/>
                <w:iCs w:val="1"/>
                <w:color w:val="auto"/>
                <w:vertAlign w:val="superscript"/>
              </w:rPr>
              <w:t>(2)</w:t>
            </w:r>
          </w:p>
        </w:tc>
        <w:tc>
          <w:tcPr>
            <w:tcW w:w="2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2,094</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2,205</w:t>
            </w:r>
          </w:p>
        </w:tc>
      </w:tr>
      <w:tr>
        <w:trPr>
          <w:trHeight w:val="196"/>
        </w:trPr>
        <w:tc>
          <w:tcPr>
            <w:tcW w:w="920" w:type="dxa"/>
            <w:vAlign w:val="bottom"/>
          </w:tcPr>
          <w:p>
            <w:pPr>
              <w:spacing w:after="0"/>
              <w:rPr>
                <w:sz w:val="17"/>
                <w:szCs w:val="17"/>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 retirement obligations — end of period</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17,067</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13,921</w:t>
            </w:r>
          </w:p>
        </w:tc>
      </w:tr>
      <w:tr>
        <w:trPr>
          <w:trHeight w:val="203"/>
        </w:trPr>
        <w:tc>
          <w:tcPr>
            <w:tcW w:w="920" w:type="dxa"/>
            <w:vAlign w:val="bottom"/>
          </w:tcPr>
          <w:p>
            <w:pPr>
              <w:spacing w:after="0"/>
              <w:rPr>
                <w:sz w:val="17"/>
                <w:szCs w:val="17"/>
                <w:color w:val="auto"/>
              </w:rPr>
            </w:pPr>
          </w:p>
        </w:tc>
        <w:tc>
          <w:tcPr>
            <w:tcW w:w="36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Less: current asset retirement obligations</w:t>
            </w:r>
          </w:p>
        </w:tc>
        <w:tc>
          <w:tcPr>
            <w:tcW w:w="2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196"/>
        </w:trPr>
        <w:tc>
          <w:tcPr>
            <w:tcW w:w="920" w:type="dxa"/>
            <w:vAlign w:val="bottom"/>
          </w:tcPr>
          <w:p>
            <w:pPr>
              <w:spacing w:after="0"/>
              <w:rPr>
                <w:sz w:val="17"/>
                <w:szCs w:val="17"/>
                <w:color w:val="auto"/>
              </w:rPr>
            </w:pPr>
          </w:p>
        </w:tc>
        <w:tc>
          <w:tcPr>
            <w:tcW w:w="3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Long-term portion of asset retirement obligations</w:t>
            </w:r>
          </w:p>
        </w:tc>
        <w:tc>
          <w:tcPr>
            <w:tcW w:w="2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17,012</w:t>
            </w: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13,899</w:t>
            </w:r>
          </w:p>
        </w:tc>
      </w:tr>
      <w:tr>
        <w:trPr>
          <w:trHeight w:val="20"/>
        </w:trPr>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88"/>
        </w:trPr>
        <w:tc>
          <w:tcPr>
            <w:tcW w:w="92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tcPr>
          <w:p>
            <w:pPr>
              <w:spacing w:after="0"/>
              <w:rPr>
                <w:sz w:val="7"/>
                <w:szCs w:val="7"/>
                <w:color w:val="auto"/>
              </w:rPr>
            </w:pPr>
          </w:p>
        </w:tc>
      </w:tr>
    </w:tbl>
    <w:p>
      <w:pPr>
        <w:spacing w:after="0" w:line="15" w:lineRule="exact"/>
        <w:rPr>
          <w:sz w:val="20"/>
          <w:szCs w:val="20"/>
          <w:color w:val="auto"/>
        </w:rPr>
      </w:pPr>
    </w:p>
    <w:p>
      <w:pPr>
        <w:ind w:left="380" w:hanging="330"/>
        <w:spacing w:after="0"/>
        <w:tabs>
          <w:tab w:leader="none" w:pos="380" w:val="left"/>
        </w:tabs>
        <w:numPr>
          <w:ilvl w:val="0"/>
          <w:numId w:val="27"/>
        </w:numPr>
        <w:rPr>
          <w:rFonts w:ascii="Arial" w:cs="Arial" w:eastAsia="Arial" w:hAnsi="Arial"/>
          <w:sz w:val="24"/>
          <w:szCs w:val="24"/>
          <w:i w:val="1"/>
          <w:iCs w:val="1"/>
          <w:color w:val="auto"/>
          <w:vertAlign w:val="superscript"/>
        </w:rPr>
      </w:pPr>
      <w:r>
        <w:rPr>
          <w:rFonts w:ascii="Arial" w:cs="Arial" w:eastAsia="Arial" w:hAnsi="Arial"/>
          <w:sz w:val="16"/>
          <w:szCs w:val="16"/>
          <w:color w:val="auto"/>
        </w:rPr>
        <w:t xml:space="preserve">See Note 3, </w:t>
      </w:r>
      <w:r>
        <w:rPr>
          <w:rFonts w:ascii="Arial" w:cs="Arial" w:eastAsia="Arial" w:hAnsi="Arial"/>
          <w:sz w:val="16"/>
          <w:szCs w:val="16"/>
          <w:i w:val="1"/>
          <w:iCs w:val="1"/>
          <w:color w:val="auto"/>
        </w:rPr>
        <w:t>“Acquisitions</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for additional information on the Company’s acquisition activities.</w:t>
      </w:r>
    </w:p>
    <w:p>
      <w:pPr>
        <w:spacing w:after="0" w:line="10" w:lineRule="exact"/>
        <w:rPr>
          <w:rFonts w:ascii="Arial" w:cs="Arial" w:eastAsia="Arial" w:hAnsi="Arial"/>
          <w:sz w:val="24"/>
          <w:szCs w:val="24"/>
          <w:i w:val="1"/>
          <w:iCs w:val="1"/>
          <w:color w:val="auto"/>
          <w:vertAlign w:val="superscript"/>
        </w:rPr>
      </w:pPr>
    </w:p>
    <w:p>
      <w:pPr>
        <w:ind w:left="380" w:hanging="330"/>
        <w:spacing w:after="0" w:line="182" w:lineRule="auto"/>
        <w:tabs>
          <w:tab w:leader="none" w:pos="380" w:val="left"/>
        </w:tabs>
        <w:numPr>
          <w:ilvl w:val="0"/>
          <w:numId w:val="27"/>
        </w:numPr>
        <w:rPr>
          <w:rFonts w:ascii="Arial" w:cs="Arial" w:eastAsia="Arial" w:hAnsi="Arial"/>
          <w:sz w:val="22"/>
          <w:szCs w:val="22"/>
          <w:i w:val="1"/>
          <w:iCs w:val="1"/>
          <w:color w:val="auto"/>
          <w:vertAlign w:val="superscript"/>
        </w:rPr>
      </w:pPr>
      <w:r>
        <w:rPr>
          <w:rFonts w:ascii="Arial" w:cs="Arial" w:eastAsia="Arial" w:hAnsi="Arial"/>
          <w:sz w:val="15"/>
          <w:szCs w:val="15"/>
          <w:color w:val="auto"/>
        </w:rPr>
        <w:t>Primarily related to upward revisions for increased estimates for the years ended June 30, 2023 and 2022.</w:t>
      </w: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29" w:lineRule="exact"/>
        <w:rPr>
          <w:sz w:val="20"/>
          <w:szCs w:val="20"/>
          <w:color w:val="auto"/>
        </w:rPr>
      </w:pPr>
    </w:p>
    <w:p>
      <w:pPr>
        <w:ind w:left="60" w:right="199"/>
        <w:spacing w:after="0" w:line="270" w:lineRule="auto"/>
        <w:rPr>
          <w:sz w:val="20"/>
          <w:szCs w:val="20"/>
          <w:color w:val="auto"/>
        </w:rPr>
      </w:pPr>
      <w:r>
        <w:rPr>
          <w:rFonts w:ascii="Arial" w:cs="Arial" w:eastAsia="Arial" w:hAnsi="Arial"/>
          <w:sz w:val="17"/>
          <w:szCs w:val="17"/>
          <w:color w:val="auto"/>
        </w:rPr>
        <w:t>The Company is subject to various claims and contingencies in the normal course of business. In addition, from time to time, the Company receives communications from government or regulatory agencies concerning investigations or allegations of noncompliance with laws or regulations in jurisdictions in which the Company operates. The Company discloses such matters if it believes there is a reasonable possibility that a future event or events will confirm a material loss through impairment of an asset or the incurrence of a material liability. The Company accrues a material loss if it believes it probable that a future event or events will confirm a loss and the loss is reasonably estimable. Furthermore, the Company will disclose any matter that is unasserted if it considers it probable that a claim will be asserted and there is a reasonable possibility that the outcome will be unfavorable and material in amount. The Company expenses legal defense costs as they are incurred.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0" w:name="page71"/>
    <w:bookmarkEnd w:id="7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EVOLUTION PETROLEUM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Stockholders’ Equity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June 30, 2023, the Company had 33,247,523 shares of common stock outstanding.</w:t>
      </w:r>
    </w:p>
    <w:p>
      <w:pPr>
        <w:spacing w:after="0" w:line="225"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color w:val="auto"/>
        </w:rPr>
        <w:t>The Company began paying quarterly cash dividends on common stock in December 2013. As of June 30, 2023, the Company has cumulatively paid over $102.4 million in cash dividends. The Company paid dividends of $16.1 million and $11.8 million to its common stockholders during the years ended June 30, 2023 and 2022, respectively. The following table reflects the dividends paid per share within the respective quarterly periods:</w:t>
      </w:r>
    </w:p>
    <w:p>
      <w:pPr>
        <w:spacing w:after="0" w:line="201" w:lineRule="exact"/>
        <w:rPr>
          <w:sz w:val="20"/>
          <w:szCs w:val="20"/>
          <w:color w:val="auto"/>
        </w:rPr>
      </w:pPr>
    </w:p>
    <w:tbl>
      <w:tblPr>
        <w:tblLayout w:type="fixed"/>
        <w:tblInd w:w="9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ind w:right="64"/>
              <w:spacing w:after="0"/>
              <w:rPr>
                <w:sz w:val="20"/>
                <w:szCs w:val="20"/>
                <w:color w:val="auto"/>
              </w:rPr>
            </w:pPr>
            <w:r>
              <w:rPr>
                <w:rFonts w:ascii="Arial" w:cs="Arial" w:eastAsia="Arial" w:hAnsi="Arial"/>
                <w:sz w:val="16"/>
                <w:szCs w:val="16"/>
                <w:b w:val="1"/>
                <w:bCs w:val="1"/>
                <w:color w:val="auto"/>
              </w:rPr>
              <w:t>Fiscal Year</w:t>
            </w:r>
          </w:p>
        </w:tc>
        <w:tc>
          <w:tcPr>
            <w:tcW w:w="840" w:type="dxa"/>
            <w:vAlign w:val="bottom"/>
            <w:tcBorders>
              <w:bottom w:val="single" w:sz="8" w:color="auto"/>
            </w:tcBorders>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36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60" w:type="dxa"/>
            <w:vAlign w:val="bottom"/>
            <w:tcBorders>
              <w:bottom w:val="single" w:sz="8" w:color="auto"/>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r>
      <w:tr>
        <w:trPr>
          <w:trHeight w:val="196"/>
        </w:trPr>
        <w:tc>
          <w:tcPr>
            <w:tcW w:w="20" w:type="dxa"/>
            <w:vAlign w:val="bottom"/>
          </w:tcPr>
          <w:p>
            <w:pPr>
              <w:spacing w:after="0"/>
              <w:rPr>
                <w:sz w:val="17"/>
                <w:szCs w:val="17"/>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Fourth quarter ended June 30,</w:t>
            </w:r>
          </w:p>
        </w:tc>
        <w:tc>
          <w:tcPr>
            <w:tcW w:w="10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14"/>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0.120</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0.100</w:t>
            </w:r>
          </w:p>
        </w:tc>
      </w:tr>
      <w:tr>
        <w:trPr>
          <w:trHeight w:val="203"/>
        </w:trPr>
        <w:tc>
          <w:tcPr>
            <w:tcW w:w="2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6"/>
                <w:szCs w:val="16"/>
                <w:color w:val="auto"/>
              </w:rPr>
              <w:t>Third quarter ended March 31,</w:t>
            </w: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0.120</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0.100</w:t>
            </w: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Second quarter ended December 31,</w:t>
            </w:r>
          </w:p>
        </w:tc>
        <w:tc>
          <w:tcPr>
            <w:tcW w:w="10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0.120</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0.075</w:t>
            </w:r>
          </w:p>
        </w:tc>
      </w:tr>
      <w:tr>
        <w:trPr>
          <w:trHeight w:val="206"/>
        </w:trPr>
        <w:tc>
          <w:tcPr>
            <w:tcW w:w="2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6"/>
                <w:szCs w:val="16"/>
                <w:color w:val="auto"/>
              </w:rPr>
              <w:t>First quarter ended September 30,</w:t>
            </w: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0.120</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0.075</w:t>
            </w:r>
          </w:p>
        </w:tc>
      </w:tr>
    </w:tbl>
    <w:p>
      <w:pPr>
        <w:spacing w:after="0" w:line="198" w:lineRule="exact"/>
        <w:rPr>
          <w:sz w:val="20"/>
          <w:szCs w:val="20"/>
          <w:color w:val="auto"/>
        </w:rPr>
      </w:pPr>
    </w:p>
    <w:p>
      <w:pPr>
        <w:ind w:left="60" w:right="199"/>
        <w:spacing w:after="0" w:line="308" w:lineRule="auto"/>
        <w:rPr>
          <w:sz w:val="20"/>
          <w:szCs w:val="20"/>
          <w:color w:val="auto"/>
        </w:rPr>
      </w:pPr>
      <w:r>
        <w:rPr>
          <w:rFonts w:ascii="Arial" w:cs="Arial" w:eastAsia="Arial" w:hAnsi="Arial"/>
          <w:sz w:val="17"/>
          <w:szCs w:val="17"/>
          <w:color w:val="auto"/>
        </w:rPr>
        <w:t xml:space="preserve">On September 11, 2023, Evolution’s Board of Directors approved and declared a quarterly dividend of $0.12 per common share payable September 29, 2023. Refer to Note 15, </w:t>
      </w:r>
      <w:r>
        <w:rPr>
          <w:rFonts w:ascii="Arial" w:cs="Arial" w:eastAsia="Arial" w:hAnsi="Arial"/>
          <w:sz w:val="17"/>
          <w:szCs w:val="17"/>
          <w:i w:val="1"/>
          <w:iCs w:val="1"/>
          <w:color w:val="auto"/>
        </w:rPr>
        <w:t>“Subsequent Events,”</w:t>
      </w:r>
      <w:r>
        <w:rPr>
          <w:rFonts w:ascii="Arial" w:cs="Arial" w:eastAsia="Arial" w:hAnsi="Arial"/>
          <w:sz w:val="17"/>
          <w:szCs w:val="17"/>
          <w:color w:val="auto"/>
        </w:rPr>
        <w:t xml:space="preserve"> for a further discussion.</w:t>
      </w:r>
    </w:p>
    <w:p>
      <w:pPr>
        <w:spacing w:after="0" w:line="146" w:lineRule="exact"/>
        <w:rPr>
          <w:sz w:val="20"/>
          <w:szCs w:val="20"/>
          <w:color w:val="auto"/>
        </w:rPr>
      </w:pPr>
    </w:p>
    <w:p>
      <w:pPr>
        <w:ind w:left="60" w:right="59"/>
        <w:spacing w:after="0" w:line="287" w:lineRule="auto"/>
        <w:rPr>
          <w:sz w:val="20"/>
          <w:szCs w:val="20"/>
          <w:color w:val="auto"/>
        </w:rPr>
      </w:pPr>
      <w:r>
        <w:rPr>
          <w:rFonts w:ascii="Arial" w:cs="Arial" w:eastAsia="Arial" w:hAnsi="Arial"/>
          <w:sz w:val="16"/>
          <w:szCs w:val="16"/>
          <w:color w:val="auto"/>
        </w:rPr>
        <w:t>On September 8, 2022, the Board of Directors approved a share repurchase program, under which the Company is authorized to repurchase up to $25.0 million of its common stock in the open market through December 31, 2024. The Company intends to fund repurchases from working capital and cash provided by operating activities. The Board of Directors along with the management team believe that a share repurchase program is complimentary to the existing dividend policy and is a tax efficient means to further improve shareholder return. The shares may be repurchased from time to time in open market transactions, through privately negotiated transactions or by other means in accordance with federal securities laws. The timing, as well as the number and value of shares repurchased under the program, will depend on a variety of factors, including management’s assessment of the intrinsic value of the Company’s shares, the market price of the Company’s common stock, the Company’s capital needs and resources, general market and economic conditions, and applicable legal requirements. The value of shares authorized for repurchase by the Company's Board of Directors does not require the Company to repurchase such shares or guarantee that such shares will be repurchased, and the program may be suspended, modified, or discontinued at any time without prior notice.</w:t>
      </w:r>
    </w:p>
    <w:p>
      <w:pPr>
        <w:spacing w:after="0" w:line="168" w:lineRule="exact"/>
        <w:rPr>
          <w:sz w:val="20"/>
          <w:szCs w:val="20"/>
          <w:color w:val="auto"/>
        </w:rPr>
      </w:pPr>
    </w:p>
    <w:p>
      <w:pPr>
        <w:ind w:left="60" w:right="339"/>
        <w:spacing w:after="0" w:line="291" w:lineRule="auto"/>
        <w:rPr>
          <w:sz w:val="20"/>
          <w:szCs w:val="20"/>
          <w:color w:val="auto"/>
        </w:rPr>
      </w:pPr>
      <w:r>
        <w:rPr>
          <w:rFonts w:ascii="Arial" w:cs="Arial" w:eastAsia="Arial" w:hAnsi="Arial"/>
          <w:sz w:val="16"/>
          <w:szCs w:val="16"/>
          <w:color w:val="auto"/>
        </w:rPr>
        <w:t>Once the Company completed repayment of borrowings on its Senior Secured Credit Facility and emerged from its blackout period in December 2022, the Company entered into a Rule 10b5-1 plan that authorized a broker to repurchase shares in the open market subject to pre-defined limitations on trading volume and price. The plan included a 30-day cooling off period that did not allow repurchases to commence until January 2023. The plan was effective until June 30, 2023 and had a maximum authorized amount of $5.0 million over that period. During the year ended June 30, 2023, 0.6 million shares of the Company’s common stock were repurchased under the plan at a total cost of approximately $3.9 million, including incremental direct transaction costs. These treasury shares were subsequently cancelled.</w:t>
      </w:r>
    </w:p>
    <w:p>
      <w:pPr>
        <w:spacing w:after="0" w:line="166" w:lineRule="exact"/>
        <w:rPr>
          <w:sz w:val="20"/>
          <w:szCs w:val="20"/>
          <w:color w:val="auto"/>
        </w:rPr>
      </w:pPr>
    </w:p>
    <w:p>
      <w:pPr>
        <w:ind w:left="60" w:right="259"/>
        <w:spacing w:after="0" w:line="342" w:lineRule="auto"/>
        <w:rPr>
          <w:sz w:val="20"/>
          <w:szCs w:val="20"/>
          <w:color w:val="auto"/>
        </w:rPr>
      </w:pPr>
      <w:r>
        <w:rPr>
          <w:rFonts w:ascii="Arial" w:cs="Arial" w:eastAsia="Arial" w:hAnsi="Arial"/>
          <w:sz w:val="16"/>
          <w:szCs w:val="16"/>
          <w:color w:val="auto"/>
        </w:rPr>
        <w:t>During the years ended June 30, 2023 and 2022, the Company also acquired treasury stock upon the vesting of employee stock-based awards to fund payroll tax withholding obligations. These treasury shares were subsequently cancelled.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1" w:name="page72"/>
    <w:bookmarkEnd w:id="7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EVOLUTION PETROLEUM CORPORATION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60" w:right="459"/>
        <w:spacing w:after="0" w:line="308" w:lineRule="auto"/>
        <w:rPr>
          <w:sz w:val="20"/>
          <w:szCs w:val="20"/>
          <w:color w:val="auto"/>
        </w:rPr>
      </w:pPr>
      <w:r>
        <w:rPr>
          <w:rFonts w:ascii="Arial" w:cs="Arial" w:eastAsia="Arial" w:hAnsi="Arial"/>
          <w:sz w:val="17"/>
          <w:szCs w:val="17"/>
          <w:color w:val="auto"/>
        </w:rPr>
        <w:t>Such shares were valued at fair market value on the date of vesting. The following table summarizes all treasury stock purchases in the years ended June 30, 2023 and 2022 (in thousands, except per share amounts):</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Years Ended June 30,</w:t>
            </w:r>
          </w:p>
        </w:tc>
        <w:tc>
          <w:tcPr>
            <w:tcW w:w="700" w:type="dxa"/>
            <w:vAlign w:val="bottom"/>
            <w:tcBorders>
              <w:bottom w:val="single" w:sz="8" w:color="auto"/>
            </w:tcBorders>
          </w:tcPr>
          <w:p>
            <w:pPr>
              <w:spacing w:after="0"/>
              <w:rPr>
                <w:sz w:val="14"/>
                <w:szCs w:val="14"/>
                <w:color w:val="auto"/>
              </w:rPr>
            </w:pPr>
          </w:p>
        </w:tc>
      </w:tr>
      <w:tr>
        <w:trPr>
          <w:trHeight w:val="183"/>
        </w:trPr>
        <w:tc>
          <w:tcPr>
            <w:tcW w:w="920" w:type="dxa"/>
            <w:vAlign w:val="bottom"/>
          </w:tcPr>
          <w:p>
            <w:pPr>
              <w:spacing w:after="0"/>
              <w:rPr>
                <w:sz w:val="15"/>
                <w:szCs w:val="15"/>
                <w:color w:val="auto"/>
              </w:rPr>
            </w:pPr>
          </w:p>
        </w:tc>
        <w:tc>
          <w:tcPr>
            <w:tcW w:w="1320" w:type="dxa"/>
            <w:vAlign w:val="bottom"/>
            <w:tcBorders>
              <w:bottom w:val="single" w:sz="8" w:color="CCEEFF"/>
            </w:tcBorders>
          </w:tcPr>
          <w:p>
            <w:pPr>
              <w:spacing w:after="0"/>
              <w:rPr>
                <w:sz w:val="15"/>
                <w:szCs w:val="15"/>
                <w:color w:val="auto"/>
              </w:rPr>
            </w:pPr>
          </w:p>
        </w:tc>
        <w:tc>
          <w:tcPr>
            <w:tcW w:w="21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w w:val="83"/>
              </w:rPr>
              <w:t>2022</w:t>
            </w:r>
          </w:p>
        </w:tc>
      </w:tr>
      <w:tr>
        <w:trPr>
          <w:trHeight w:val="196"/>
        </w:trPr>
        <w:tc>
          <w:tcPr>
            <w:tcW w:w="920" w:type="dxa"/>
            <w:vAlign w:val="bottom"/>
          </w:tcPr>
          <w:p>
            <w:pPr>
              <w:spacing w:after="0"/>
              <w:rPr>
                <w:sz w:val="17"/>
                <w:szCs w:val="17"/>
                <w:color w:val="auto"/>
              </w:rPr>
            </w:pPr>
          </w:p>
        </w:tc>
        <w:tc>
          <w:tcPr>
            <w:tcW w:w="3420" w:type="dxa"/>
            <w:vAlign w:val="bottom"/>
            <w:gridSpan w:val="2"/>
            <w:shd w:val="clear" w:color="auto" w:fill="CCEEFF"/>
          </w:tcPr>
          <w:p>
            <w:pPr>
              <w:spacing w:after="0" w:line="195" w:lineRule="exact"/>
              <w:rPr>
                <w:sz w:val="20"/>
                <w:szCs w:val="20"/>
                <w:color w:val="auto"/>
              </w:rPr>
            </w:pPr>
            <w:r>
              <w:rPr>
                <w:rFonts w:ascii="Arial" w:cs="Arial" w:eastAsia="Arial" w:hAnsi="Arial"/>
                <w:sz w:val="15"/>
                <w:szCs w:val="15"/>
                <w:color w:val="auto"/>
              </w:rPr>
              <w:t>Number of treasury shares acquired</w:t>
            </w:r>
            <w:r>
              <w:rPr>
                <w:rFonts w:ascii="Arial" w:cs="Arial" w:eastAsia="Arial" w:hAnsi="Arial"/>
                <w:sz w:val="22"/>
                <w:szCs w:val="22"/>
                <w:i w:val="1"/>
                <w:iCs w:val="1"/>
                <w:color w:val="auto"/>
                <w:vertAlign w:val="superscript"/>
              </w:rPr>
              <w:t>(1)</w:t>
            </w: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673</w:t>
            </w: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03"/>
        </w:trPr>
        <w:tc>
          <w:tcPr>
            <w:tcW w:w="920" w:type="dxa"/>
            <w:vAlign w:val="bottom"/>
          </w:tcPr>
          <w:p>
            <w:pPr>
              <w:spacing w:after="0"/>
              <w:rPr>
                <w:sz w:val="17"/>
                <w:szCs w:val="17"/>
                <w:color w:val="auto"/>
              </w:rPr>
            </w:pPr>
          </w:p>
        </w:tc>
        <w:tc>
          <w:tcPr>
            <w:tcW w:w="3420" w:type="dxa"/>
            <w:vAlign w:val="bottom"/>
            <w:gridSpan w:val="2"/>
          </w:tcPr>
          <w:p>
            <w:pPr>
              <w:spacing w:after="0" w:line="202" w:lineRule="exact"/>
              <w:rPr>
                <w:sz w:val="20"/>
                <w:szCs w:val="20"/>
                <w:color w:val="auto"/>
              </w:rPr>
            </w:pPr>
            <w:r>
              <w:rPr>
                <w:rFonts w:ascii="Arial" w:cs="Arial" w:eastAsia="Arial" w:hAnsi="Arial"/>
                <w:sz w:val="16"/>
                <w:szCs w:val="16"/>
                <w:color w:val="auto"/>
              </w:rPr>
              <w:t>Average cost per share</w:t>
            </w:r>
            <w:r>
              <w:rPr>
                <w:rFonts w:ascii="Arial" w:cs="Arial" w:eastAsia="Arial" w:hAnsi="Arial"/>
                <w:sz w:val="23"/>
                <w:szCs w:val="23"/>
                <w:i w:val="1"/>
                <w:iCs w:val="1"/>
                <w:color w:val="auto"/>
                <w:vertAlign w:val="superscript"/>
              </w:rPr>
              <w:t>(1)</w:t>
            </w:r>
          </w:p>
        </w:tc>
        <w:tc>
          <w:tcPr>
            <w:tcW w:w="1260" w:type="dxa"/>
            <w:vAlign w:val="bottom"/>
            <w:gridSpan w:val="2"/>
          </w:tcPr>
          <w:p>
            <w:pPr>
              <w:jc w:val="right"/>
              <w:ind w:right="16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6.20</w:t>
            </w:r>
          </w:p>
        </w:tc>
        <w:tc>
          <w:tcPr>
            <w:tcW w:w="700" w:type="dxa"/>
            <w:vAlign w:val="bottom"/>
            <w:gridSpan w:val="2"/>
          </w:tcPr>
          <w:p>
            <w:pPr>
              <w:jc w:val="right"/>
              <w:ind w:right="264"/>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5.09</w:t>
            </w:r>
          </w:p>
        </w:tc>
      </w:tr>
      <w:tr>
        <w:trPr>
          <w:trHeight w:val="196"/>
        </w:trPr>
        <w:tc>
          <w:tcPr>
            <w:tcW w:w="920" w:type="dxa"/>
            <w:vAlign w:val="bottom"/>
          </w:tcPr>
          <w:p>
            <w:pPr>
              <w:spacing w:after="0"/>
              <w:rPr>
                <w:sz w:val="17"/>
                <w:szCs w:val="17"/>
                <w:color w:val="auto"/>
              </w:rPr>
            </w:pPr>
          </w:p>
        </w:tc>
        <w:tc>
          <w:tcPr>
            <w:tcW w:w="34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cost of treasury shares acquired</w:t>
            </w:r>
          </w:p>
        </w:tc>
        <w:tc>
          <w:tcPr>
            <w:tcW w:w="9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4,170</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0"/>
        </w:trPr>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88"/>
        </w:trPr>
        <w:tc>
          <w:tcPr>
            <w:tcW w:w="92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r>
    </w:tbl>
    <w:p>
      <w:pPr>
        <w:spacing w:after="0" w:line="85" w:lineRule="exact"/>
        <w:rPr>
          <w:sz w:val="20"/>
          <w:szCs w:val="20"/>
          <w:color w:val="auto"/>
        </w:rPr>
      </w:pPr>
    </w:p>
    <w:p>
      <w:pPr>
        <w:ind w:left="380" w:right="79" w:hanging="330"/>
        <w:spacing w:after="0" w:line="213" w:lineRule="auto"/>
        <w:tabs>
          <w:tab w:leader="none" w:pos="380" w:val="left"/>
        </w:tabs>
        <w:numPr>
          <w:ilvl w:val="0"/>
          <w:numId w:val="28"/>
        </w:numPr>
        <w:rPr>
          <w:rFonts w:ascii="Arial" w:cs="Arial" w:eastAsia="Arial" w:hAnsi="Arial"/>
          <w:sz w:val="24"/>
          <w:szCs w:val="24"/>
          <w:i w:val="1"/>
          <w:iCs w:val="1"/>
          <w:color w:val="auto"/>
          <w:vertAlign w:val="superscript"/>
        </w:rPr>
      </w:pPr>
      <w:r>
        <w:rPr>
          <w:rFonts w:ascii="Arial" w:cs="Arial" w:eastAsia="Arial" w:hAnsi="Arial"/>
          <w:sz w:val="16"/>
          <w:szCs w:val="16"/>
          <w:color w:val="auto"/>
        </w:rPr>
        <w:t>For the year ended June 30, 2023, includes 633,789 shares repurchased under the Company’s share repurchase program for a weighted average price of $6.07 per share.</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Expected Tax Treatment of Dividends</w:t>
      </w:r>
    </w:p>
    <w:p>
      <w:pPr>
        <w:spacing w:after="0" w:line="225" w:lineRule="exact"/>
        <w:rPr>
          <w:sz w:val="20"/>
          <w:szCs w:val="20"/>
          <w:color w:val="auto"/>
        </w:rPr>
      </w:pPr>
    </w:p>
    <w:p>
      <w:pPr>
        <w:ind w:left="60" w:right="179"/>
        <w:spacing w:after="0" w:line="311" w:lineRule="auto"/>
        <w:rPr>
          <w:sz w:val="20"/>
          <w:szCs w:val="20"/>
          <w:color w:val="auto"/>
        </w:rPr>
      </w:pPr>
      <w:r>
        <w:rPr>
          <w:rFonts w:ascii="Arial" w:cs="Arial" w:eastAsia="Arial" w:hAnsi="Arial"/>
          <w:sz w:val="16"/>
          <w:szCs w:val="16"/>
          <w:color w:val="auto"/>
        </w:rPr>
        <w:t>For the fiscal year ended June 30, 2022, all common stock dividends for that fiscal year were treated for tax purposes as qualified dividend income to the recipients. Based on its current projections for the fiscal year ended June 30, 2023, the Company expects all common stock dividends for such period to be treated as qualified dividend income to the recipients.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Incentive Plan</w:t>
      </w:r>
    </w:p>
    <w:p>
      <w:pPr>
        <w:spacing w:after="0" w:line="225" w:lineRule="exact"/>
        <w:rPr>
          <w:sz w:val="20"/>
          <w:szCs w:val="20"/>
          <w:color w:val="auto"/>
        </w:rPr>
      </w:pPr>
    </w:p>
    <w:p>
      <w:pPr>
        <w:ind w:left="60" w:right="79"/>
        <w:spacing w:after="0" w:line="254" w:lineRule="auto"/>
        <w:rPr>
          <w:sz w:val="20"/>
          <w:szCs w:val="20"/>
          <w:color w:val="auto"/>
        </w:rPr>
      </w:pPr>
      <w:r>
        <w:rPr>
          <w:rFonts w:ascii="Arial" w:cs="Arial" w:eastAsia="Arial" w:hAnsi="Arial"/>
          <w:sz w:val="18"/>
          <w:szCs w:val="18"/>
          <w:color w:val="auto"/>
        </w:rPr>
        <w:t>The Evolution Petroleum Corporation 2016 Equity Incentive Plan (as amended the “2016 Plan”), authorizes the issuance of 3.6 million shares of common stock prior to its expiration on December 8, 2026. Incentives under the 2016 Plan may be granted to employees, directors, and consultants of the Company in any one or a combination of the following forms: incentive stock options and non-statutory stock options, stock appreciation rights, restricted stock awards and restricted stock unit awards, performance share awards, performance cash awards, and other forms of incentives valued in whole or in part by reference to, or otherwise based on, the Company’s common stock, including its appreciation in value. As of June 30, 2023 and 2022, approximately 1.3 million shares and 1.8 million shares, respectively, remained available for grant under the 2016 Plan.</w:t>
      </w:r>
    </w:p>
    <w:p>
      <w:pPr>
        <w:spacing w:after="0" w:line="192"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color w:val="auto"/>
        </w:rPr>
        <w:t>The Company estimates the fair value of stock-based compensation awards on the grant date to provide the basis for future compensation expense. For the years ended June 30, 2023, and 2022, the Company recognized $1.6 million and $0.1 million, respectively, related to stock-based compensation expense recorded as a component of “</w:t>
      </w:r>
      <w:r>
        <w:rPr>
          <w:rFonts w:ascii="Arial" w:cs="Arial" w:eastAsia="Arial" w:hAnsi="Arial"/>
          <w:sz w:val="18"/>
          <w:szCs w:val="18"/>
          <w:i w:val="1"/>
          <w:iCs w:val="1"/>
          <w:color w:val="auto"/>
        </w:rPr>
        <w:t>General and</w:t>
      </w:r>
      <w:r>
        <w:rPr>
          <w:rFonts w:ascii="Arial" w:cs="Arial" w:eastAsia="Arial" w:hAnsi="Arial"/>
          <w:sz w:val="18"/>
          <w:szCs w:val="18"/>
          <w:color w:val="auto"/>
        </w:rPr>
        <w:t xml:space="preserve"> </w:t>
      </w:r>
      <w:r>
        <w:rPr>
          <w:rFonts w:ascii="Arial" w:cs="Arial" w:eastAsia="Arial" w:hAnsi="Arial"/>
          <w:sz w:val="18"/>
          <w:szCs w:val="18"/>
          <w:i w:val="1"/>
          <w:iCs w:val="1"/>
          <w:color w:val="auto"/>
        </w:rPr>
        <w:t>administrative expenses</w:t>
      </w:r>
      <w:r>
        <w:rPr>
          <w:rFonts w:ascii="Arial" w:cs="Arial" w:eastAsia="Arial" w:hAnsi="Arial"/>
          <w:sz w:val="18"/>
          <w:szCs w:val="18"/>
          <w:color w:val="auto"/>
        </w:rPr>
        <w:t>” on the consolidated statements of operations. During the year ended June 30, 2022,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a reduction of $1.2 million to stock-based compensation expense for the forfeiture of unvested shares in connection with severance.</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Time-Vested Restricted Stock Awards</w:t>
      </w:r>
    </w:p>
    <w:p>
      <w:pPr>
        <w:spacing w:after="0" w:line="225" w:lineRule="exact"/>
        <w:rPr>
          <w:sz w:val="20"/>
          <w:szCs w:val="20"/>
          <w:color w:val="auto"/>
        </w:rPr>
      </w:pPr>
    </w:p>
    <w:p>
      <w:pPr>
        <w:ind w:left="60" w:right="159"/>
        <w:spacing w:after="0" w:line="271" w:lineRule="auto"/>
        <w:rPr>
          <w:sz w:val="20"/>
          <w:szCs w:val="20"/>
          <w:color w:val="auto"/>
        </w:rPr>
      </w:pPr>
      <w:r>
        <w:rPr>
          <w:rFonts w:ascii="Arial" w:cs="Arial" w:eastAsia="Arial" w:hAnsi="Arial"/>
          <w:sz w:val="17"/>
          <w:szCs w:val="17"/>
          <w:color w:val="auto"/>
        </w:rPr>
        <w:t>Time-vested restricted stock awards contain service-based vesting conditions and expire after a maximum of four years from the date of grant if unvested. The common shares underlying these awards are issued on the date of grant and participate in dividends paid by the Company. These service-based awards vest with continuous employment by the Company, generally in annual installments over terms of three to four years. Awards to the Company’s directors generally have one-year cliff vesting. For such awards, grant date fair value is based on market value of the Company’s common stock at the time of grant. This value is then amortized ratably over the service period. Previously recognized amortization expense subsequent to the last vesting date of an award is reversed in the event that the holder has no longer rendered service to the Company resulting in forfeiture of the award.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EVOLUTION PETROLEUM CORPORATION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Performance-Based Restricted Stock Awards and Performance-Based Contingent Stock Units</w:t>
      </w:r>
    </w:p>
    <w:p>
      <w:pPr>
        <w:spacing w:after="0" w:line="225" w:lineRule="exact"/>
        <w:rPr>
          <w:sz w:val="20"/>
          <w:szCs w:val="20"/>
          <w:color w:val="auto"/>
        </w:rPr>
      </w:pPr>
    </w:p>
    <w:p>
      <w:pPr>
        <w:ind w:left="60" w:right="159"/>
        <w:spacing w:after="0" w:line="285" w:lineRule="auto"/>
        <w:rPr>
          <w:sz w:val="20"/>
          <w:szCs w:val="20"/>
          <w:color w:val="auto"/>
        </w:rPr>
      </w:pPr>
      <w:r>
        <w:rPr>
          <w:rFonts w:ascii="Arial" w:cs="Arial" w:eastAsia="Arial" w:hAnsi="Arial"/>
          <w:sz w:val="16"/>
          <w:szCs w:val="16"/>
          <w:color w:val="auto"/>
        </w:rPr>
        <w:t>Performance-based restricted stock awards and performance-based contingent stock units contain market-based vesting conditions based on the price of the Company’s common stock, the intrinsic value indexed solely to its common stock or the intrinsic value indexed to its common stock compared to the performance of the common stock of its peers. The common shares underlying the Company’s performance-based restricted stock awards are issued on the date of grant and participate in dividends paid by the Company and expire after a maximum of four years from the date of grant if unvested. Performance-based contingent share units do not participate in dividends and shares are only issued in part or in full upon the attainment of vesting conditions, generally have a lower probability of achievement and expire after a maximum of four years from the date of grant if unvested. Shares underlying performance-based contingent share units are reserved from the 2016 Plan. Performance-based restricted stock awards and contingent restricted stock units are valued using a Monte Carlo simulation and geometric Brownian motion techniques applied to the historical volatility of the Company’s total stock return compared to the historical volatilities of other companies or indices to which the Company compares its performance and/or the Company’s absolute total stock return. For certain awards, this Monte Carlo simulation also provides an expected vesting term. Stock-based compensation is recognized ratably over the expected vesting period, so long as the award holder remains an employee of the Company. Previously recognized compensation expense is only reversed for the awards with market-based vesting conditions if the requisite service period is not rendered by the holder resulting in forfeiture of the award or as a result of regulatory required clawback.</w:t>
      </w:r>
    </w:p>
    <w:p>
      <w:pPr>
        <w:spacing w:after="0" w:line="176" w:lineRule="exact"/>
        <w:rPr>
          <w:sz w:val="20"/>
          <w:szCs w:val="20"/>
          <w:color w:val="auto"/>
        </w:rPr>
      </w:pPr>
    </w:p>
    <w:p>
      <w:pPr>
        <w:ind w:left="60" w:right="179"/>
        <w:spacing w:after="0" w:line="257" w:lineRule="auto"/>
        <w:rPr>
          <w:sz w:val="20"/>
          <w:szCs w:val="20"/>
          <w:color w:val="auto"/>
        </w:rPr>
      </w:pPr>
      <w:r>
        <w:rPr>
          <w:rFonts w:ascii="Arial" w:cs="Arial" w:eastAsia="Arial" w:hAnsi="Arial"/>
          <w:sz w:val="18"/>
          <w:szCs w:val="18"/>
          <w:color w:val="auto"/>
        </w:rPr>
        <w:t>Vesting of grants with performance-based vesting conditions is dependent on the future price of the Company’s common stock. Such awards vest in part or in full if the trailing total returns on the Company’s common stock for a specified three-year period exceed the corresponding total returns of various quartiles of indices consisting of peer companies or, in some cases, vest when the average of the Company’s closing common stock price over a defined measurement period meets or exceeds a required common stock price.</w:t>
      </w:r>
    </w:p>
    <w:p>
      <w:pPr>
        <w:spacing w:after="0" w:line="188"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For performance-based awards granted during the years ended June 30, 2023 and 2022, the assumptions used in the Monte Carlo simulation valuations were as follows: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4"/>
          </w:tcPr>
          <w:p>
            <w:pPr>
              <w:jc w:val="right"/>
              <w:ind w:right="939"/>
              <w:spacing w:after="0"/>
              <w:rPr>
                <w:sz w:val="20"/>
                <w:szCs w:val="20"/>
                <w:color w:val="auto"/>
              </w:rPr>
            </w:pPr>
            <w:r>
              <w:rPr>
                <w:rFonts w:ascii="Arial" w:cs="Arial" w:eastAsia="Arial" w:hAnsi="Arial"/>
                <w:sz w:val="16"/>
                <w:szCs w:val="16"/>
                <w:b w:val="1"/>
                <w:bCs w:val="1"/>
                <w:color w:val="auto"/>
              </w:rPr>
              <w:t>Years Ended June 30,</w:t>
            </w:r>
          </w:p>
        </w:tc>
      </w:tr>
      <w:tr>
        <w:trPr>
          <w:trHeight w:val="199"/>
        </w:trPr>
        <w:tc>
          <w:tcPr>
            <w:tcW w:w="54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2022</w:t>
            </w:r>
          </w:p>
        </w:tc>
      </w:tr>
      <w:tr>
        <w:trPr>
          <w:trHeight w:val="196"/>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fair value of performance-based awards granted</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w:t>
            </w: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r>
      <w:tr>
        <w:trPr>
          <w:trHeight w:val="203"/>
        </w:trPr>
        <w:tc>
          <w:tcPr>
            <w:tcW w:w="540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260" w:type="dxa"/>
            <w:vAlign w:val="bottom"/>
          </w:tcPr>
          <w:p>
            <w:pPr>
              <w:spacing w:after="0"/>
              <w:rPr>
                <w:sz w:val="17"/>
                <w:szCs w:val="17"/>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6"/>
                <w:szCs w:val="16"/>
                <w:color w:val="auto"/>
              </w:rPr>
              <w:t>3.91% to 4.51%</w:t>
            </w:r>
          </w:p>
        </w:tc>
        <w:tc>
          <w:tcPr>
            <w:tcW w:w="3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0.53% to 0.60%</w:t>
            </w:r>
          </w:p>
        </w:tc>
      </w:tr>
      <w:tr>
        <w:trPr>
          <w:trHeight w:val="203"/>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term in years</w:t>
            </w:r>
          </w:p>
        </w:tc>
        <w:tc>
          <w:tcPr>
            <w:tcW w:w="2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2.36 to 2.78</w:t>
            </w:r>
          </w:p>
        </w:tc>
        <w:tc>
          <w:tcPr>
            <w:tcW w:w="3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 to 2.79</w:t>
            </w:r>
          </w:p>
        </w:tc>
      </w:tr>
      <w:tr>
        <w:trPr>
          <w:trHeight w:val="203"/>
        </w:trPr>
        <w:tc>
          <w:tcPr>
            <w:tcW w:w="5400" w:type="dxa"/>
            <w:vAlign w:val="bottom"/>
          </w:tcPr>
          <w:p>
            <w:pPr>
              <w:ind w:left="20"/>
              <w:spacing w:after="0"/>
              <w:rPr>
                <w:sz w:val="20"/>
                <w:szCs w:val="20"/>
                <w:color w:val="auto"/>
              </w:rPr>
            </w:pPr>
            <w:r>
              <w:rPr>
                <w:rFonts w:ascii="Arial" w:cs="Arial" w:eastAsia="Arial" w:hAnsi="Arial"/>
                <w:sz w:val="16"/>
                <w:szCs w:val="16"/>
                <w:color w:val="auto"/>
              </w:rPr>
              <w:t>Expected volatility</w:t>
            </w:r>
          </w:p>
        </w:tc>
        <w:tc>
          <w:tcPr>
            <w:tcW w:w="260" w:type="dxa"/>
            <w:vAlign w:val="bottom"/>
          </w:tcPr>
          <w:p>
            <w:pPr>
              <w:spacing w:after="0"/>
              <w:rPr>
                <w:sz w:val="17"/>
                <w:szCs w:val="17"/>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6"/>
                <w:szCs w:val="16"/>
                <w:color w:val="auto"/>
              </w:rPr>
              <w:t>56.5% to 70.9%</w:t>
            </w:r>
          </w:p>
        </w:tc>
        <w:tc>
          <w:tcPr>
            <w:tcW w:w="3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64.7%</w:t>
            </w:r>
          </w:p>
        </w:tc>
      </w:tr>
      <w:tr>
        <w:trPr>
          <w:trHeight w:val="203"/>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 yield</w:t>
            </w:r>
          </w:p>
        </w:tc>
        <w:tc>
          <w:tcPr>
            <w:tcW w:w="2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6.1% to 7.8%</w:t>
            </w:r>
          </w:p>
        </w:tc>
        <w:tc>
          <w:tcPr>
            <w:tcW w:w="3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 to 6.3%</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Unvested restricted stock awards as of June 30, 2023 consisted of the following:</w:t>
      </w:r>
    </w:p>
    <w:p>
      <w:pPr>
        <w:spacing w:after="0" w:line="239" w:lineRule="exact"/>
        <w:rPr>
          <w:sz w:val="20"/>
          <w:szCs w:val="20"/>
          <w:color w:val="auto"/>
        </w:rPr>
      </w:pPr>
    </w:p>
    <w:tbl>
      <w:tblPr>
        <w:tblLayout w:type="fixed"/>
        <w:tblInd w:w="94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Average</w:t>
            </w:r>
          </w:p>
        </w:tc>
      </w:tr>
      <w:tr>
        <w:trPr>
          <w:trHeight w:val="203"/>
        </w:trPr>
        <w:tc>
          <w:tcPr>
            <w:tcW w:w="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1"/>
              </w:rPr>
              <w:t>Restricted</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39"/>
              <w:spacing w:after="0"/>
              <w:rPr>
                <w:sz w:val="20"/>
                <w:szCs w:val="20"/>
                <w:color w:val="auto"/>
              </w:rPr>
            </w:pPr>
            <w:r>
              <w:rPr>
                <w:rFonts w:ascii="Arial" w:cs="Arial" w:eastAsia="Arial" w:hAnsi="Arial"/>
                <w:sz w:val="16"/>
                <w:szCs w:val="16"/>
                <w:b w:val="1"/>
                <w:bCs w:val="1"/>
                <w:color w:val="auto"/>
                <w:w w:val="96"/>
              </w:rPr>
              <w:t>Grant-Date</w:t>
            </w:r>
          </w:p>
        </w:tc>
      </w:tr>
      <w:tr>
        <w:trPr>
          <w:trHeight w:val="213"/>
        </w:trPr>
        <w:tc>
          <w:tcPr>
            <w:tcW w:w="20" w:type="dxa"/>
            <w:vAlign w:val="bottom"/>
          </w:tcPr>
          <w:p>
            <w:pPr>
              <w:spacing w:after="0"/>
              <w:rPr>
                <w:sz w:val="18"/>
                <w:szCs w:val="18"/>
                <w:color w:val="auto"/>
              </w:rPr>
            </w:pPr>
          </w:p>
        </w:tc>
        <w:tc>
          <w:tcPr>
            <w:tcW w:w="4920" w:type="dxa"/>
            <w:vAlign w:val="bottom"/>
            <w:gridSpan w:val="2"/>
          </w:tcPr>
          <w:p>
            <w:pPr>
              <w:ind w:left="1940"/>
              <w:spacing w:after="0"/>
              <w:rPr>
                <w:sz w:val="20"/>
                <w:szCs w:val="20"/>
                <w:color w:val="auto"/>
              </w:rPr>
            </w:pPr>
            <w:r>
              <w:rPr>
                <w:rFonts w:ascii="Arial" w:cs="Arial" w:eastAsia="Arial" w:hAnsi="Arial"/>
                <w:sz w:val="16"/>
                <w:szCs w:val="16"/>
                <w:b w:val="1"/>
                <w:bCs w:val="1"/>
                <w:color w:val="auto"/>
              </w:rPr>
              <w:t>Award Type</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89"/>
              </w:rPr>
              <w:t>Shares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19"/>
              <w:spacing w:after="0"/>
              <w:rPr>
                <w:sz w:val="20"/>
                <w:szCs w:val="20"/>
                <w:color w:val="auto"/>
              </w:rPr>
            </w:pPr>
            <w:r>
              <w:rPr>
                <w:rFonts w:ascii="Arial" w:cs="Arial" w:eastAsia="Arial" w:hAnsi="Arial"/>
                <w:sz w:val="16"/>
                <w:szCs w:val="16"/>
                <w:b w:val="1"/>
                <w:bCs w:val="1"/>
                <w:color w:val="auto"/>
                <w:w w:val="96"/>
              </w:rPr>
              <w:t>Fair Value</w:t>
            </w:r>
          </w:p>
        </w:tc>
      </w:tr>
      <w:tr>
        <w:trPr>
          <w:trHeight w:val="199"/>
        </w:trPr>
        <w:tc>
          <w:tcPr>
            <w:tcW w:w="20" w:type="dxa"/>
            <w:vAlign w:val="bottom"/>
          </w:tcPr>
          <w:p>
            <w:pPr>
              <w:spacing w:after="0"/>
              <w:rPr>
                <w:sz w:val="17"/>
                <w:szCs w:val="17"/>
                <w:color w:val="auto"/>
              </w:rPr>
            </w:pPr>
          </w:p>
        </w:tc>
        <w:tc>
          <w:tcPr>
            <w:tcW w:w="4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Time-vested awards</w:t>
            </w:r>
          </w:p>
        </w:tc>
        <w:tc>
          <w:tcPr>
            <w:tcW w:w="1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453,041</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6.61</w:t>
            </w:r>
          </w:p>
        </w:tc>
      </w:tr>
      <w:tr>
        <w:trPr>
          <w:trHeight w:val="203"/>
        </w:trPr>
        <w:tc>
          <w:tcPr>
            <w:tcW w:w="20" w:type="dxa"/>
            <w:vAlign w:val="bottom"/>
          </w:tcPr>
          <w:p>
            <w:pPr>
              <w:spacing w:after="0"/>
              <w:rPr>
                <w:sz w:val="17"/>
                <w:szCs w:val="17"/>
                <w:color w:val="auto"/>
              </w:rPr>
            </w:pPr>
          </w:p>
        </w:tc>
        <w:tc>
          <w:tcPr>
            <w:tcW w:w="49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Performance-based awards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142,373</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w:t>
            </w:r>
          </w:p>
        </w:tc>
      </w:tr>
      <w:tr>
        <w:trPr>
          <w:trHeight w:val="196"/>
        </w:trPr>
        <w:tc>
          <w:tcPr>
            <w:tcW w:w="20" w:type="dxa"/>
            <w:vAlign w:val="bottom"/>
          </w:tcPr>
          <w:p>
            <w:pPr>
              <w:spacing w:after="0"/>
              <w:rPr>
                <w:sz w:val="17"/>
                <w:szCs w:val="17"/>
                <w:color w:val="auto"/>
              </w:rPr>
            </w:pPr>
          </w:p>
        </w:tc>
        <w:tc>
          <w:tcPr>
            <w:tcW w:w="4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Unvested at June 30, 2023</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595,414</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w:t>
            </w: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3" w:name="page74"/>
    <w:bookmarkEnd w:id="7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EVOLUTION PETROLEUM CORPORATION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sets forth the restricted stock award transactions for the years ended June 30, 2023 and 2022:</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160" w:type="dxa"/>
            <w:vAlign w:val="bottom"/>
          </w:tcPr>
          <w:p>
            <w:pPr>
              <w:spacing w:after="0"/>
              <w:rPr>
                <w:sz w:val="17"/>
                <w:szCs w:val="17"/>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96"/>
              </w:rPr>
              <w:t>Unamortized</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20" w:type="dxa"/>
            <w:vAlign w:val="bottom"/>
            <w:gridSpan w:val="2"/>
          </w:tcPr>
          <w:p>
            <w:pPr>
              <w:jc w:val="center"/>
              <w:ind w:left="359"/>
              <w:spacing w:after="0"/>
              <w:rPr>
                <w:sz w:val="20"/>
                <w:szCs w:val="20"/>
                <w:color w:val="auto"/>
              </w:rPr>
            </w:pPr>
            <w:r>
              <w:rPr>
                <w:rFonts w:ascii="Arial" w:cs="Arial" w:eastAsia="Arial" w:hAnsi="Arial"/>
                <w:sz w:val="16"/>
                <w:szCs w:val="16"/>
                <w:b w:val="1"/>
                <w:bCs w:val="1"/>
                <w:color w:val="auto"/>
                <w:w w:val="92"/>
              </w:rPr>
              <w:t>Number of</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center"/>
              <w:ind w:right="19"/>
              <w:spacing w:after="0"/>
              <w:rPr>
                <w:sz w:val="20"/>
                <w:szCs w:val="20"/>
                <w:color w:val="auto"/>
              </w:rPr>
            </w:pPr>
            <w:r>
              <w:rPr>
                <w:rFonts w:ascii="Arial" w:cs="Arial" w:eastAsia="Arial" w:hAnsi="Arial"/>
                <w:sz w:val="16"/>
                <w:szCs w:val="16"/>
                <w:b w:val="1"/>
                <w:bCs w:val="1"/>
                <w:color w:val="auto"/>
                <w:w w:val="88"/>
              </w:rPr>
              <w:t>Average</w:t>
            </w:r>
          </w:p>
        </w:tc>
        <w:tc>
          <w:tcPr>
            <w:tcW w:w="160" w:type="dxa"/>
            <w:vAlign w:val="bottom"/>
          </w:tcPr>
          <w:p>
            <w:pPr>
              <w:spacing w:after="0"/>
              <w:rPr>
                <w:sz w:val="16"/>
                <w:szCs w:val="16"/>
                <w:color w:val="auto"/>
              </w:rPr>
            </w:pPr>
          </w:p>
        </w:tc>
        <w:tc>
          <w:tcPr>
            <w:tcW w:w="1180" w:type="dxa"/>
            <w:vAlign w:val="bottom"/>
            <w:gridSpan w:val="3"/>
          </w:tcPr>
          <w:p>
            <w:pPr>
              <w:spacing w:after="0"/>
              <w:rPr>
                <w:sz w:val="20"/>
                <w:szCs w:val="20"/>
                <w:color w:val="auto"/>
              </w:rPr>
            </w:pPr>
            <w:r>
              <w:rPr>
                <w:rFonts w:ascii="Arial" w:cs="Arial" w:eastAsia="Arial" w:hAnsi="Arial"/>
                <w:sz w:val="16"/>
                <w:szCs w:val="16"/>
                <w:b w:val="1"/>
                <w:bCs w:val="1"/>
                <w:color w:val="auto"/>
              </w:rPr>
              <w:t>Compensation</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w:t>
            </w:r>
          </w:p>
        </w:tc>
        <w:tc>
          <w:tcPr>
            <w:tcW w:w="160" w:type="dxa"/>
            <w:vAlign w:val="bottom"/>
          </w:tcPr>
          <w:p>
            <w:pPr>
              <w:spacing w:after="0"/>
              <w:rPr>
                <w:sz w:val="16"/>
                <w:szCs w:val="16"/>
                <w:color w:val="auto"/>
              </w:rPr>
            </w:pPr>
          </w:p>
        </w:tc>
        <w:tc>
          <w:tcPr>
            <w:tcW w:w="14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Aggregate Intrinsic</w:t>
            </w:r>
          </w:p>
        </w:tc>
      </w:tr>
      <w:tr>
        <w:trPr>
          <w:trHeight w:val="212"/>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89"/>
              </w:rPr>
              <w:t>Restricted</w:t>
            </w:r>
          </w:p>
        </w:tc>
        <w:tc>
          <w:tcPr>
            <w:tcW w:w="960" w:type="dxa"/>
            <w:vAlign w:val="bottom"/>
            <w:gridSpan w:val="3"/>
          </w:tcPr>
          <w:p>
            <w:pPr>
              <w:ind w:left="160"/>
              <w:spacing w:after="0"/>
              <w:rPr>
                <w:sz w:val="20"/>
                <w:szCs w:val="20"/>
                <w:color w:val="auto"/>
              </w:rPr>
            </w:pPr>
            <w:r>
              <w:rPr>
                <w:rFonts w:ascii="Arial" w:cs="Arial" w:eastAsia="Arial" w:hAnsi="Arial"/>
                <w:sz w:val="16"/>
                <w:szCs w:val="16"/>
                <w:b w:val="1"/>
                <w:bCs w:val="1"/>
                <w:color w:val="auto"/>
                <w:w w:val="94"/>
              </w:rPr>
              <w:t>Grant-Date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Expense</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6"/>
              </w:rPr>
              <w:t>Amortization</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ind w:right="59"/>
              <w:spacing w:after="0" w:line="212" w:lineRule="exact"/>
              <w:rPr>
                <w:sz w:val="20"/>
                <w:szCs w:val="20"/>
                <w:color w:val="auto"/>
              </w:rPr>
            </w:pPr>
            <w:r>
              <w:rPr>
                <w:rFonts w:ascii="Arial" w:cs="Arial" w:eastAsia="Arial" w:hAnsi="Arial"/>
                <w:sz w:val="16"/>
                <w:szCs w:val="16"/>
                <w:b w:val="1"/>
                <w:bCs w:val="1"/>
                <w:color w:val="auto"/>
                <w:w w:val="83"/>
              </w:rPr>
              <w:t xml:space="preserve">Value </w:t>
            </w:r>
            <w:r>
              <w:rPr>
                <w:rFonts w:ascii="Arial" w:cs="Arial" w:eastAsia="Arial" w:hAnsi="Arial"/>
                <w:sz w:val="24"/>
                <w:szCs w:val="24"/>
                <w:b w:val="1"/>
                <w:bCs w:val="1"/>
                <w:i w:val="1"/>
                <w:iCs w:val="1"/>
                <w:color w:val="auto"/>
                <w:w w:val="83"/>
                <w:vertAlign w:val="superscript"/>
              </w:rPr>
              <w:t>(1)</w:t>
            </w:r>
          </w:p>
        </w:tc>
      </w:tr>
      <w:tr>
        <w:trPr>
          <w:trHeight w:val="210"/>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16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6"/>
              </w:rPr>
              <w:t>Fair Value</w:t>
            </w:r>
          </w:p>
        </w:tc>
        <w:tc>
          <w:tcPr>
            <w:tcW w:w="1340" w:type="dxa"/>
            <w:vAlign w:val="bottom"/>
            <w:gridSpan w:val="4"/>
          </w:tcPr>
          <w:p>
            <w:pPr>
              <w:ind w:left="160"/>
              <w:spacing w:after="0"/>
              <w:rPr>
                <w:sz w:val="20"/>
                <w:szCs w:val="20"/>
                <w:color w:val="auto"/>
              </w:rPr>
            </w:pPr>
            <w:r>
              <w:rPr>
                <w:rFonts w:ascii="Arial" w:cs="Arial" w:eastAsia="Arial" w:hAnsi="Arial"/>
                <w:sz w:val="16"/>
                <w:szCs w:val="16"/>
                <w:b w:val="1"/>
                <w:bCs w:val="1"/>
                <w:color w:val="auto"/>
              </w:rPr>
              <w:t>(In thousands)</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2"/>
              </w:rPr>
              <w:t>Period (Years)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(In thousands)</w:t>
            </w:r>
          </w:p>
        </w:tc>
      </w:tr>
      <w:tr>
        <w:trPr>
          <w:trHeight w:val="202"/>
        </w:trPr>
        <w:tc>
          <w:tcPr>
            <w:tcW w:w="20" w:type="dxa"/>
            <w:vAlign w:val="bottom"/>
          </w:tcPr>
          <w:p>
            <w:pPr>
              <w:spacing w:after="0"/>
              <w:rPr>
                <w:sz w:val="17"/>
                <w:szCs w:val="17"/>
                <w:color w:val="auto"/>
              </w:rPr>
            </w:pPr>
          </w:p>
        </w:tc>
        <w:tc>
          <w:tcPr>
            <w:tcW w:w="2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Unvested at June 30, 2021</w:t>
            </w:r>
          </w:p>
        </w:tc>
        <w:tc>
          <w:tcPr>
            <w:tcW w:w="4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669,295</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780" w:type="dxa"/>
            <w:vAlign w:val="bottom"/>
            <w:gridSpan w:val="2"/>
          </w:tcPr>
          <w:p>
            <w:pPr>
              <w:ind w:left="100"/>
              <w:spacing w:after="0"/>
              <w:rPr>
                <w:sz w:val="20"/>
                <w:szCs w:val="20"/>
                <w:color w:val="auto"/>
              </w:rPr>
            </w:pPr>
            <w:r>
              <w:rPr>
                <w:rFonts w:ascii="Arial" w:cs="Arial" w:eastAsia="Arial" w:hAnsi="Arial"/>
                <w:sz w:val="16"/>
                <w:szCs w:val="16"/>
                <w:color w:val="auto"/>
              </w:rPr>
              <w:t>Time-vested shares granted</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205,077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5.88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7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Performance-based shares granted</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131,293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780" w:type="dxa"/>
            <w:vAlign w:val="bottom"/>
            <w:gridSpan w:val="2"/>
          </w:tcPr>
          <w:p>
            <w:pPr>
              <w:ind w:left="100"/>
              <w:spacing w:after="0"/>
              <w:rPr>
                <w:sz w:val="20"/>
                <w:szCs w:val="20"/>
                <w:color w:val="auto"/>
              </w:rPr>
            </w:pPr>
            <w:r>
              <w:rPr>
                <w:rFonts w:ascii="Arial" w:cs="Arial" w:eastAsia="Arial" w:hAnsi="Arial"/>
                <w:sz w:val="16"/>
                <w:szCs w:val="16"/>
                <w:color w:val="auto"/>
              </w:rPr>
              <w:t>Vested</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(291,227)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3.77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7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Forfeited</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(373,227)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780" w:type="dxa"/>
            <w:vAlign w:val="bottom"/>
            <w:gridSpan w:val="2"/>
          </w:tcPr>
          <w:p>
            <w:pPr>
              <w:spacing w:after="0"/>
              <w:rPr>
                <w:sz w:val="20"/>
                <w:szCs w:val="20"/>
                <w:color w:val="auto"/>
              </w:rPr>
            </w:pPr>
            <w:r>
              <w:rPr>
                <w:rFonts w:ascii="Arial" w:cs="Arial" w:eastAsia="Arial" w:hAnsi="Arial"/>
                <w:sz w:val="16"/>
                <w:szCs w:val="16"/>
                <w:color w:val="auto"/>
              </w:rPr>
              <w:t>Unvested at June 30, 2022</w:t>
            </w:r>
          </w:p>
        </w:tc>
        <w:tc>
          <w:tcPr>
            <w:tcW w:w="460" w:type="dxa"/>
            <w:vAlign w:val="bottom"/>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341,211</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4.54</w:t>
            </w:r>
          </w:p>
        </w:tc>
        <w:tc>
          <w:tcPr>
            <w:tcW w:w="30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1,092</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1,863</w:t>
            </w:r>
          </w:p>
        </w:tc>
      </w:tr>
      <w:tr>
        <w:trPr>
          <w:trHeight w:val="203"/>
        </w:trPr>
        <w:tc>
          <w:tcPr>
            <w:tcW w:w="20" w:type="dxa"/>
            <w:vAlign w:val="bottom"/>
          </w:tcPr>
          <w:p>
            <w:pPr>
              <w:spacing w:after="0"/>
              <w:rPr>
                <w:sz w:val="17"/>
                <w:szCs w:val="17"/>
                <w:color w:val="auto"/>
              </w:rPr>
            </w:pPr>
          </w:p>
        </w:tc>
        <w:tc>
          <w:tcPr>
            <w:tcW w:w="27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Time-vested shares granted</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376,015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780" w:type="dxa"/>
            <w:vAlign w:val="bottom"/>
            <w:gridSpan w:val="2"/>
          </w:tcPr>
          <w:p>
            <w:pPr>
              <w:ind w:left="100"/>
              <w:spacing w:after="0"/>
              <w:rPr>
                <w:sz w:val="20"/>
                <w:szCs w:val="20"/>
                <w:color w:val="auto"/>
              </w:rPr>
            </w:pPr>
            <w:r>
              <w:rPr>
                <w:rFonts w:ascii="Arial" w:cs="Arial" w:eastAsia="Arial" w:hAnsi="Arial"/>
                <w:sz w:val="16"/>
                <w:szCs w:val="16"/>
                <w:color w:val="auto"/>
              </w:rPr>
              <w:t>Performance-based shares granted</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100,239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7.39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7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Vested</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(196,431)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780" w:type="dxa"/>
            <w:vAlign w:val="bottom"/>
            <w:gridSpan w:val="2"/>
          </w:tcPr>
          <w:p>
            <w:pPr>
              <w:ind w:left="100"/>
              <w:spacing w:after="0"/>
              <w:rPr>
                <w:sz w:val="20"/>
                <w:szCs w:val="20"/>
                <w:color w:val="auto"/>
              </w:rPr>
            </w:pPr>
            <w:r>
              <w:rPr>
                <w:rFonts w:ascii="Arial" w:cs="Arial" w:eastAsia="Arial" w:hAnsi="Arial"/>
                <w:sz w:val="16"/>
                <w:szCs w:val="16"/>
                <w:color w:val="auto"/>
              </w:rPr>
              <w:t>Forfeited</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(25,620)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6.51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7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Unvested at June 30, 2023</w:t>
            </w:r>
          </w:p>
        </w:tc>
        <w:tc>
          <w:tcPr>
            <w:tcW w:w="46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595,414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w:t>
            </w:r>
          </w:p>
        </w:tc>
        <w:tc>
          <w:tcPr>
            <w:tcW w:w="30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3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4,805</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60" w:type="dxa"/>
            <w:vAlign w:val="bottom"/>
          </w:tcPr>
          <w:p>
            <w:pPr>
              <w:spacing w:after="0"/>
              <w:rPr>
                <w:sz w:val="7"/>
                <w:szCs w:val="7"/>
                <w:color w:val="auto"/>
              </w:rPr>
            </w:pPr>
          </w:p>
        </w:tc>
      </w:tr>
    </w:tbl>
    <w:p>
      <w:pPr>
        <w:spacing w:after="0" w:line="80" w:lineRule="exact"/>
        <w:rPr>
          <w:sz w:val="20"/>
          <w:szCs w:val="20"/>
          <w:color w:val="auto"/>
        </w:rPr>
      </w:pPr>
    </w:p>
    <w:p>
      <w:pPr>
        <w:jc w:val="both"/>
        <w:ind w:left="380" w:right="359" w:hanging="330"/>
        <w:spacing w:after="0" w:line="249" w:lineRule="auto"/>
        <w:tabs>
          <w:tab w:leader="none" w:pos="380" w:val="left"/>
        </w:tabs>
        <w:numPr>
          <w:ilvl w:val="0"/>
          <w:numId w:val="29"/>
        </w:numPr>
        <w:rPr>
          <w:rFonts w:ascii="Arial" w:cs="Arial" w:eastAsia="Arial" w:hAnsi="Arial"/>
          <w:sz w:val="24"/>
          <w:szCs w:val="24"/>
          <w:i w:val="1"/>
          <w:iCs w:val="1"/>
          <w:color w:val="auto"/>
          <w:vertAlign w:val="superscript"/>
        </w:rPr>
      </w:pPr>
      <w:r>
        <w:rPr>
          <w:rFonts w:ascii="Arial" w:cs="Arial" w:eastAsia="Arial" w:hAnsi="Arial"/>
          <w:sz w:val="16"/>
          <w:szCs w:val="16"/>
          <w:i w:val="1"/>
          <w:iCs w:val="1"/>
          <w:color w:val="auto"/>
        </w:rPr>
        <w:t>The intrinsic value of restricted stock was calculated as the closing market price on June 30, 2023 and 2022 of the underlying stock multiplied by the number of restricted shares that would be issuable. The total fair value of shares vested was $1.4 million and $1.5 million for the years ended June 30, 2023 and 2022, respectively.</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following table sets forth contingent restricted stock units transactions for the years ended June 30, 2023 and 2022:</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Weighted</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2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2"/>
              </w:rPr>
              <w:t>Unamortized</w:t>
            </w:r>
          </w:p>
        </w:tc>
        <w:tc>
          <w:tcPr>
            <w:tcW w:w="12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Average</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3"/>
        </w:trPr>
        <w:tc>
          <w:tcPr>
            <w:tcW w:w="2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Number of</w:t>
            </w:r>
          </w:p>
        </w:tc>
        <w:tc>
          <w:tcPr>
            <w:tcW w:w="13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Weighted Average</w:t>
            </w:r>
          </w:p>
        </w:tc>
        <w:tc>
          <w:tcPr>
            <w:tcW w:w="160" w:type="dxa"/>
            <w:vAlign w:val="bottom"/>
          </w:tcPr>
          <w:p>
            <w:pPr>
              <w:spacing w:after="0"/>
              <w:rPr>
                <w:sz w:val="16"/>
                <w:szCs w:val="16"/>
                <w:color w:val="auto"/>
              </w:rPr>
            </w:pPr>
          </w:p>
        </w:tc>
        <w:tc>
          <w:tcPr>
            <w:tcW w:w="1160" w:type="dxa"/>
            <w:vAlign w:val="bottom"/>
            <w:gridSpan w:val="3"/>
          </w:tcPr>
          <w:p>
            <w:pPr>
              <w:spacing w:after="0"/>
              <w:rPr>
                <w:sz w:val="20"/>
                <w:szCs w:val="20"/>
                <w:color w:val="auto"/>
              </w:rPr>
            </w:pPr>
            <w:r>
              <w:rPr>
                <w:rFonts w:ascii="Arial" w:cs="Arial" w:eastAsia="Arial" w:hAnsi="Arial"/>
                <w:sz w:val="16"/>
                <w:szCs w:val="16"/>
                <w:b w:val="1"/>
                <w:bCs w:val="1"/>
                <w:color w:val="auto"/>
              </w:rPr>
              <w:t>Compensation</w:t>
            </w:r>
          </w:p>
        </w:tc>
        <w:tc>
          <w:tcPr>
            <w:tcW w:w="12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Remaining</w:t>
            </w:r>
          </w:p>
        </w:tc>
        <w:tc>
          <w:tcPr>
            <w:tcW w:w="13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Aggregate Intrinsic</w:t>
            </w:r>
          </w:p>
        </w:tc>
      </w:tr>
      <w:tr>
        <w:trPr>
          <w:trHeight w:val="212"/>
        </w:trPr>
        <w:tc>
          <w:tcPr>
            <w:tcW w:w="2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Restricted</w:t>
            </w:r>
          </w:p>
        </w:tc>
        <w:tc>
          <w:tcPr>
            <w:tcW w:w="140" w:type="dxa"/>
            <w:vAlign w:val="bottom"/>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Arial" w:cs="Arial" w:eastAsia="Arial" w:hAnsi="Arial"/>
                <w:sz w:val="16"/>
                <w:szCs w:val="16"/>
                <w:b w:val="1"/>
                <w:bCs w:val="1"/>
                <w:color w:val="auto"/>
                <w:w w:val="96"/>
              </w:rPr>
              <w:t>Grant-Date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Expense</w:t>
            </w:r>
          </w:p>
        </w:tc>
        <w:tc>
          <w:tcPr>
            <w:tcW w:w="12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4"/>
              </w:rPr>
              <w:t>Amortization</w:t>
            </w:r>
          </w:p>
        </w:tc>
        <w:tc>
          <w:tcPr>
            <w:tcW w:w="140" w:type="dxa"/>
            <w:vAlign w:val="bottom"/>
          </w:tcPr>
          <w:p>
            <w:pPr>
              <w:spacing w:after="0"/>
              <w:rPr>
                <w:sz w:val="18"/>
                <w:szCs w:val="18"/>
                <w:color w:val="auto"/>
              </w:rPr>
            </w:pPr>
          </w:p>
        </w:tc>
        <w:tc>
          <w:tcPr>
            <w:tcW w:w="1240" w:type="dxa"/>
            <w:vAlign w:val="bottom"/>
          </w:tcPr>
          <w:p>
            <w:pPr>
              <w:jc w:val="center"/>
              <w:ind w:right="59"/>
              <w:spacing w:after="0" w:line="212" w:lineRule="exact"/>
              <w:rPr>
                <w:sz w:val="20"/>
                <w:szCs w:val="20"/>
                <w:color w:val="auto"/>
              </w:rPr>
            </w:pPr>
            <w:r>
              <w:rPr>
                <w:rFonts w:ascii="Arial" w:cs="Arial" w:eastAsia="Arial" w:hAnsi="Arial"/>
                <w:sz w:val="16"/>
                <w:szCs w:val="16"/>
                <w:b w:val="1"/>
                <w:bCs w:val="1"/>
                <w:color w:val="auto"/>
                <w:w w:val="86"/>
              </w:rPr>
              <w:t xml:space="preserve">Value </w:t>
            </w:r>
            <w:r>
              <w:rPr>
                <w:rFonts w:ascii="Arial" w:cs="Arial" w:eastAsia="Arial" w:hAnsi="Arial"/>
                <w:sz w:val="24"/>
                <w:szCs w:val="24"/>
                <w:b w:val="1"/>
                <w:bCs w:val="1"/>
                <w:i w:val="1"/>
                <w:iCs w:val="1"/>
                <w:color w:val="auto"/>
                <w:w w:val="86"/>
                <w:vertAlign w:val="superscript"/>
              </w:rPr>
              <w:t>(1)</w:t>
            </w:r>
          </w:p>
        </w:tc>
      </w:tr>
      <w:tr>
        <w:trPr>
          <w:trHeight w:val="213"/>
        </w:trPr>
        <w:tc>
          <w:tcPr>
            <w:tcW w:w="2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Stock Units</w:t>
            </w:r>
          </w:p>
        </w:tc>
        <w:tc>
          <w:tcPr>
            <w:tcW w:w="140" w:type="dxa"/>
            <w:vAlign w:val="bottom"/>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Arial" w:cs="Arial" w:eastAsia="Arial" w:hAnsi="Arial"/>
                <w:sz w:val="16"/>
                <w:szCs w:val="16"/>
                <w:b w:val="1"/>
                <w:bCs w:val="1"/>
                <w:color w:val="auto"/>
                <w:w w:val="94"/>
              </w:rPr>
              <w:t>Fair Value</w:t>
            </w:r>
          </w:p>
        </w:tc>
        <w:tc>
          <w:tcPr>
            <w:tcW w:w="160" w:type="dxa"/>
            <w:vAlign w:val="bottom"/>
          </w:tcPr>
          <w:p>
            <w:pPr>
              <w:spacing w:after="0"/>
              <w:rPr>
                <w:sz w:val="18"/>
                <w:szCs w:val="18"/>
                <w:color w:val="auto"/>
              </w:rPr>
            </w:pPr>
          </w:p>
        </w:tc>
        <w:tc>
          <w:tcPr>
            <w:tcW w:w="1160" w:type="dxa"/>
            <w:vAlign w:val="bottom"/>
            <w:gridSpan w:val="3"/>
          </w:tcPr>
          <w:p>
            <w:pPr>
              <w:spacing w:after="0"/>
              <w:rPr>
                <w:sz w:val="20"/>
                <w:szCs w:val="20"/>
                <w:color w:val="auto"/>
              </w:rPr>
            </w:pPr>
            <w:r>
              <w:rPr>
                <w:rFonts w:ascii="Arial" w:cs="Arial" w:eastAsia="Arial" w:hAnsi="Arial"/>
                <w:sz w:val="16"/>
                <w:szCs w:val="16"/>
                <w:b w:val="1"/>
                <w:bCs w:val="1"/>
                <w:color w:val="auto"/>
              </w:rPr>
              <w:t>(In thousands)</w:t>
            </w:r>
          </w:p>
        </w:tc>
        <w:tc>
          <w:tcPr>
            <w:tcW w:w="12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Period (Years)</w:t>
            </w:r>
          </w:p>
        </w:tc>
        <w:tc>
          <w:tcPr>
            <w:tcW w:w="140" w:type="dxa"/>
            <w:vAlign w:val="bottom"/>
          </w:tcPr>
          <w:p>
            <w:pPr>
              <w:spacing w:after="0"/>
              <w:rPr>
                <w:sz w:val="18"/>
                <w:szCs w:val="18"/>
                <w:color w:val="auto"/>
              </w:rPr>
            </w:pPr>
          </w:p>
        </w:tc>
        <w:tc>
          <w:tcPr>
            <w:tcW w:w="124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(In thousands)</w:t>
            </w:r>
          </w:p>
        </w:tc>
      </w:tr>
      <w:tr>
        <w:trPr>
          <w:trHeight w:val="199"/>
        </w:trPr>
        <w:tc>
          <w:tcPr>
            <w:tcW w:w="27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Unvested at June 30, 2021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323,080</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r>
      <w:tr>
        <w:trPr>
          <w:trHeight w:val="203"/>
        </w:trPr>
        <w:tc>
          <w:tcPr>
            <w:tcW w:w="2700" w:type="dxa"/>
            <w:vAlign w:val="bottom"/>
            <w:gridSpan w:val="2"/>
          </w:tcPr>
          <w:p>
            <w:pPr>
              <w:ind w:left="120"/>
              <w:spacing w:after="0"/>
              <w:rPr>
                <w:sz w:val="20"/>
                <w:szCs w:val="20"/>
                <w:color w:val="auto"/>
              </w:rPr>
            </w:pPr>
            <w:r>
              <w:rPr>
                <w:rFonts w:ascii="Arial" w:cs="Arial" w:eastAsia="Arial" w:hAnsi="Arial"/>
                <w:sz w:val="16"/>
                <w:szCs w:val="16"/>
                <w:color w:val="auto"/>
              </w:rPr>
              <w:t>Performance-based awards granted</w:t>
            </w:r>
          </w:p>
        </w:tc>
        <w:tc>
          <w:tcPr>
            <w:tcW w:w="820" w:type="dxa"/>
            <w:vAlign w:val="bottom"/>
          </w:tcPr>
          <w:p>
            <w:pPr>
              <w:jc w:val="right"/>
              <w:spacing w:after="0"/>
              <w:rPr>
                <w:sz w:val="20"/>
                <w:szCs w:val="20"/>
                <w:color w:val="auto"/>
              </w:rPr>
            </w:pPr>
            <w:r>
              <w:rPr>
                <w:rFonts w:ascii="Arial" w:cs="Arial" w:eastAsia="Arial" w:hAnsi="Arial"/>
                <w:sz w:val="16"/>
                <w:szCs w:val="16"/>
                <w:color w:val="auto"/>
              </w:rPr>
              <w:t>65,649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27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Forfeited</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(338,667)</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196"/>
        </w:trPr>
        <w:tc>
          <w:tcPr>
            <w:tcW w:w="2700" w:type="dxa"/>
            <w:vAlign w:val="bottom"/>
            <w:gridSpan w:val="2"/>
          </w:tcPr>
          <w:p>
            <w:pPr>
              <w:ind w:left="20"/>
              <w:spacing w:after="0"/>
              <w:rPr>
                <w:sz w:val="20"/>
                <w:szCs w:val="20"/>
                <w:color w:val="auto"/>
              </w:rPr>
            </w:pPr>
            <w:r>
              <w:rPr>
                <w:rFonts w:ascii="Arial" w:cs="Arial" w:eastAsia="Arial" w:hAnsi="Arial"/>
                <w:sz w:val="16"/>
                <w:szCs w:val="16"/>
                <w:color w:val="auto"/>
              </w:rPr>
              <w:t>Unvested at June 30, 2022</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50,062</w:t>
            </w:r>
          </w:p>
        </w:tc>
        <w:tc>
          <w:tcPr>
            <w:tcW w:w="16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2.21</w:t>
            </w:r>
          </w:p>
        </w:tc>
        <w:tc>
          <w:tcPr>
            <w:tcW w:w="30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68</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w:t>
            </w: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273</w:t>
            </w:r>
          </w:p>
        </w:tc>
      </w:tr>
      <w:tr>
        <w:trPr>
          <w:trHeight w:val="203"/>
        </w:trPr>
        <w:tc>
          <w:tcPr>
            <w:tcW w:w="27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Performance-based awards granted</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50,123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3"/>
        </w:trPr>
        <w:tc>
          <w:tcPr>
            <w:tcW w:w="2700" w:type="dxa"/>
            <w:vAlign w:val="bottom"/>
            <w:gridSpan w:val="2"/>
          </w:tcPr>
          <w:p>
            <w:pPr>
              <w:ind w:left="120"/>
              <w:spacing w:after="0"/>
              <w:rPr>
                <w:sz w:val="20"/>
                <w:szCs w:val="20"/>
                <w:color w:val="auto"/>
              </w:rPr>
            </w:pPr>
            <w:r>
              <w:rPr>
                <w:rFonts w:ascii="Arial" w:cs="Arial" w:eastAsia="Arial" w:hAnsi="Arial"/>
                <w:sz w:val="16"/>
                <w:szCs w:val="16"/>
                <w:color w:val="auto"/>
              </w:rPr>
              <w:t>Forfeited</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(3,787)</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2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Unvested at June 30, 2023</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96,398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30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778</w:t>
            </w:r>
          </w:p>
        </w:tc>
      </w:tr>
      <w:tr>
        <w:trPr>
          <w:trHeight w:val="20"/>
        </w:trPr>
        <w:tc>
          <w:tcPr>
            <w:tcW w:w="2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tcPr>
          <w:p>
            <w:pPr>
              <w:spacing w:after="0"/>
              <w:rPr>
                <w:sz w:val="7"/>
                <w:szCs w:val="7"/>
                <w:color w:val="auto"/>
              </w:rPr>
            </w:pPr>
          </w:p>
        </w:tc>
      </w:tr>
    </w:tbl>
    <w:p>
      <w:pPr>
        <w:spacing w:after="0" w:line="80" w:lineRule="exact"/>
        <w:rPr>
          <w:sz w:val="20"/>
          <w:szCs w:val="20"/>
          <w:color w:val="auto"/>
        </w:rPr>
      </w:pPr>
    </w:p>
    <w:p>
      <w:pPr>
        <w:ind w:left="380" w:right="379" w:hanging="330"/>
        <w:spacing w:after="0" w:line="216" w:lineRule="auto"/>
        <w:tabs>
          <w:tab w:leader="none" w:pos="380" w:val="left"/>
        </w:tabs>
        <w:numPr>
          <w:ilvl w:val="0"/>
          <w:numId w:val="30"/>
        </w:numPr>
        <w:rPr>
          <w:rFonts w:ascii="Arial" w:cs="Arial" w:eastAsia="Arial" w:hAnsi="Arial"/>
          <w:sz w:val="26"/>
          <w:szCs w:val="26"/>
          <w:i w:val="1"/>
          <w:iCs w:val="1"/>
          <w:color w:val="auto"/>
          <w:vertAlign w:val="superscript"/>
        </w:rPr>
      </w:pPr>
      <w:r>
        <w:rPr>
          <w:rFonts w:ascii="Arial" w:cs="Arial" w:eastAsia="Arial" w:hAnsi="Arial"/>
          <w:sz w:val="17"/>
          <w:szCs w:val="17"/>
          <w:i w:val="1"/>
          <w:iCs w:val="1"/>
          <w:color w:val="auto"/>
        </w:rPr>
        <w:t>The intrinsic value of contingent restricted stock units was calculated as the closing market price on June 30, 2023 and 2022 of the underlying stock multiplied by the number of restricted shares that would be issuable.</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4" w:name="page75"/>
    <w:bookmarkEnd w:id="7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EVOLUTION PETROLEUM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Earnings (Loss) per Common Share</w:t>
      </w:r>
    </w:p>
    <w:p>
      <w:pPr>
        <w:spacing w:after="0" w:line="229" w:lineRule="exact"/>
        <w:rPr>
          <w:sz w:val="20"/>
          <w:szCs w:val="20"/>
          <w:color w:val="auto"/>
        </w:rPr>
      </w:pPr>
    </w:p>
    <w:p>
      <w:pPr>
        <w:ind w:left="60" w:right="659"/>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(loss) per common share, reflecting the application of the two-class method (in thousands, except per share amounts):</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Years Ended June 30,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90"/>
        </w:trPr>
        <w:tc>
          <w:tcPr>
            <w:tcW w:w="6160" w:type="dxa"/>
            <w:vAlign w:val="bottom"/>
            <w:gridSpan w:val="2"/>
          </w:tcPr>
          <w:p>
            <w:pPr>
              <w:spacing w:after="0"/>
              <w:rPr>
                <w:sz w:val="20"/>
                <w:szCs w:val="20"/>
                <w:color w:val="auto"/>
              </w:rPr>
            </w:pPr>
            <w:r>
              <w:rPr>
                <w:rFonts w:ascii="Arial" w:cs="Arial" w:eastAsia="Arial" w:hAnsi="Arial"/>
                <w:sz w:val="16"/>
                <w:szCs w:val="16"/>
                <w:i w:val="1"/>
                <w:iCs w:val="1"/>
                <w:color w:val="auto"/>
              </w:rPr>
              <w:t>Numerator</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500" w:type="dxa"/>
            <w:vAlign w:val="bottom"/>
            <w:gridSpan w:val="2"/>
            <w:shd w:val="clear" w:color="auto" w:fill="CCEEFF"/>
          </w:tcPr>
          <w:p>
            <w:pPr>
              <w:jc w:val="right"/>
              <w:ind w:right="12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35,217</w:t>
            </w:r>
          </w:p>
        </w:tc>
        <w:tc>
          <w:tcPr>
            <w:tcW w:w="460" w:type="dxa"/>
            <w:vAlign w:val="bottom"/>
            <w:gridSpan w:val="2"/>
            <w:shd w:val="clear" w:color="auto" w:fill="CCEEFF"/>
          </w:tcPr>
          <w:p>
            <w:pPr>
              <w:jc w:val="right"/>
              <w:ind w:right="12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Undistributed earnings allocated to unvested restricted stock</w:t>
            </w:r>
          </w:p>
        </w:tc>
        <w:tc>
          <w:tcPr>
            <w:tcW w:w="2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 (loss) for earnings per share calculation</w:t>
            </w:r>
          </w:p>
        </w:tc>
        <w:tc>
          <w:tcPr>
            <w:tcW w:w="2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34,657</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Denominator</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spacing w:after="0"/>
              <w:rPr>
                <w:sz w:val="20"/>
                <w:szCs w:val="20"/>
                <w:color w:val="auto"/>
              </w:rPr>
            </w:pPr>
            <w:r>
              <w:rPr>
                <w:rFonts w:ascii="Arial" w:cs="Arial" w:eastAsia="Arial" w:hAnsi="Arial"/>
                <w:sz w:val="16"/>
                <w:szCs w:val="16"/>
                <w:color w:val="auto"/>
              </w:rPr>
              <w:t>Weighted average number of common shares outstanding — Basic</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32,985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32,952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Effect of dilutive securities:</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spacing w:after="0"/>
              <w:rPr>
                <w:sz w:val="20"/>
                <w:szCs w:val="20"/>
                <w:color w:val="auto"/>
              </w:rPr>
            </w:pPr>
            <w:r>
              <w:rPr>
                <w:rFonts w:ascii="Arial" w:cs="Arial" w:eastAsia="Arial" w:hAnsi="Arial"/>
                <w:sz w:val="16"/>
                <w:szCs w:val="16"/>
                <w:color w:val="auto"/>
              </w:rPr>
              <w:t>Unvested restricted stock awards</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Unvested contingent restricted stock units</w:t>
            </w:r>
          </w:p>
        </w:tc>
        <w:tc>
          <w:tcPr>
            <w:tcW w:w="2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140" w:type="dxa"/>
            <w:vAlign w:val="bottom"/>
          </w:tcPr>
          <w:p>
            <w:pPr>
              <w:spacing w:after="0" w:line="173" w:lineRule="exact"/>
              <w:rPr>
                <w:sz w:val="20"/>
                <w:szCs w:val="20"/>
                <w:color w:val="auto"/>
              </w:rPr>
            </w:pPr>
            <w:r>
              <w:rPr>
                <w:rFonts w:ascii="Arial" w:cs="Arial" w:eastAsia="Arial" w:hAnsi="Arial"/>
                <w:sz w:val="16"/>
                <w:szCs w:val="16"/>
                <w:color w:val="auto"/>
                <w:w w:val="94"/>
              </w:rPr>
              <w:t>Weighted average number of common shares and dilutive potential common shares used in</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33,190</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33,306</w:t>
            </w:r>
          </w:p>
        </w:tc>
        <w:tc>
          <w:tcPr>
            <w:tcW w:w="0" w:type="dxa"/>
            <w:vAlign w:val="bottom"/>
          </w:tcPr>
          <w:p>
            <w:pPr>
              <w:spacing w:after="0"/>
              <w:rPr>
                <w:sz w:val="1"/>
                <w:szCs w:val="1"/>
                <w:color w:val="auto"/>
              </w:rPr>
            </w:pPr>
          </w:p>
        </w:tc>
      </w:tr>
      <w:tr>
        <w:trPr>
          <w:trHeight w:val="239"/>
        </w:trPr>
        <w:tc>
          <w:tcPr>
            <w:tcW w:w="6160" w:type="dxa"/>
            <w:vAlign w:val="bottom"/>
            <w:gridSpan w:val="2"/>
          </w:tcPr>
          <w:p>
            <w:pPr>
              <w:spacing w:after="0"/>
              <w:rPr>
                <w:sz w:val="20"/>
                <w:szCs w:val="20"/>
                <w:color w:val="auto"/>
              </w:rPr>
            </w:pPr>
            <w:r>
              <w:rPr>
                <w:rFonts w:ascii="Arial" w:cs="Arial" w:eastAsia="Arial" w:hAnsi="Arial"/>
                <w:sz w:val="16"/>
                <w:szCs w:val="16"/>
                <w:color w:val="auto"/>
              </w:rPr>
              <w:t>diluted earnings per share</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1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160" w:type="dxa"/>
            <w:vAlign w:val="bottom"/>
            <w:gridSpan w:val="2"/>
          </w:tcPr>
          <w:p>
            <w:pPr>
              <w:spacing w:after="0"/>
              <w:rPr>
                <w:sz w:val="20"/>
                <w:szCs w:val="20"/>
                <w:color w:val="auto"/>
              </w:rPr>
            </w:pPr>
            <w:r>
              <w:rPr>
                <w:rFonts w:ascii="Arial" w:cs="Arial" w:eastAsia="Arial" w:hAnsi="Arial"/>
                <w:sz w:val="16"/>
                <w:szCs w:val="16"/>
                <w:color w:val="auto"/>
              </w:rPr>
              <w:t>Net income (loss) per common share — Basic</w:t>
            </w:r>
          </w:p>
        </w:tc>
        <w:tc>
          <w:tcPr>
            <w:tcW w:w="500" w:type="dxa"/>
            <w:vAlign w:val="bottom"/>
            <w:gridSpan w:val="2"/>
          </w:tcPr>
          <w:p>
            <w:pPr>
              <w:jc w:val="right"/>
              <w:ind w:right="12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1.05</w:t>
            </w:r>
          </w:p>
        </w:tc>
        <w:tc>
          <w:tcPr>
            <w:tcW w:w="460" w:type="dxa"/>
            <w:vAlign w:val="bottom"/>
            <w:gridSpan w:val="2"/>
          </w:tcPr>
          <w:p>
            <w:pPr>
              <w:jc w:val="right"/>
              <w:ind w:right="12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0.97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 (loss) per common share — Diluted</w:t>
            </w: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color w:val="auto"/>
        </w:rPr>
        <w:t>Unvested restricted stock awards (both time-vested and performance-based), totaling approximately 90,000 for the year ended June 30, 2023 were not included in the computation of diluted earnings per common share because the effect would have been anti-dilutive.</w:t>
      </w:r>
    </w:p>
    <w:p>
      <w:pPr>
        <w:spacing w:after="0" w:line="184"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Unvested restricted stock awards (both time-vested and performance-based), totaling approximately 20,000 for the year ended June 30, 2022, were not included in the computation of diluted earnings per common share because the effect would have been anti-dilutive.</w:t>
      </w:r>
    </w:p>
    <w:p>
      <w:pPr>
        <w:spacing w:after="0" w:line="184" w:lineRule="exact"/>
        <w:rPr>
          <w:sz w:val="20"/>
          <w:szCs w:val="20"/>
          <w:color w:val="auto"/>
        </w:rPr>
      </w:pPr>
    </w:p>
    <w:p>
      <w:pPr>
        <w:jc w:val="both"/>
        <w:ind w:left="60" w:right="199"/>
        <w:spacing w:after="0" w:line="263" w:lineRule="auto"/>
        <w:rPr>
          <w:sz w:val="20"/>
          <w:szCs w:val="20"/>
          <w:color w:val="auto"/>
        </w:rPr>
      </w:pPr>
      <w:r>
        <w:rPr>
          <w:rFonts w:ascii="Arial" w:cs="Arial" w:eastAsia="Arial" w:hAnsi="Arial"/>
          <w:sz w:val="18"/>
          <w:szCs w:val="18"/>
          <w:color w:val="auto"/>
        </w:rPr>
        <w:t>In addition, unvested performance-based restricted stock awards and unvested contingent restricted stock units that would not meet the performance criteria as of the period end are excluded from the computation of diluted earnings per common share.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13. Leases</w:t>
      </w:r>
    </w:p>
    <w:p>
      <w:pPr>
        <w:spacing w:after="0" w:line="229"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auto"/>
        </w:rPr>
        <w:t xml:space="preserve">Operating leases are reflected as an operating lease right of use (“ROU”) asset included in </w:t>
      </w:r>
      <w:r>
        <w:rPr>
          <w:rFonts w:ascii="Arial" w:cs="Arial" w:eastAsia="Arial" w:hAnsi="Arial"/>
          <w:sz w:val="17"/>
          <w:szCs w:val="17"/>
          <w:i w:val="1"/>
          <w:iCs w:val="1"/>
          <w:color w:val="auto"/>
        </w:rPr>
        <w:t>“Other assets”</w:t>
      </w:r>
      <w:r>
        <w:rPr>
          <w:rFonts w:ascii="Arial" w:cs="Arial" w:eastAsia="Arial" w:hAnsi="Arial"/>
          <w:sz w:val="17"/>
          <w:szCs w:val="17"/>
          <w:color w:val="auto"/>
        </w:rPr>
        <w:t xml:space="preserve">, and as a ROU liability in </w:t>
      </w:r>
      <w:r>
        <w:rPr>
          <w:rFonts w:ascii="Arial" w:cs="Arial" w:eastAsia="Arial" w:hAnsi="Arial"/>
          <w:sz w:val="17"/>
          <w:szCs w:val="17"/>
          <w:i w:val="1"/>
          <w:iCs w:val="1"/>
          <w:color w:val="auto"/>
        </w:rPr>
        <w:t>“Accrued liabilities and other”</w:t>
      </w:r>
      <w:r>
        <w:rPr>
          <w:rFonts w:ascii="Arial" w:cs="Arial" w:eastAsia="Arial" w:hAnsi="Arial"/>
          <w:sz w:val="17"/>
          <w:szCs w:val="17"/>
          <w:color w:val="auto"/>
        </w:rPr>
        <w:t xml:space="preserve"> and </w:t>
      </w:r>
      <w:r>
        <w:rPr>
          <w:rFonts w:ascii="Arial" w:cs="Arial" w:eastAsia="Arial" w:hAnsi="Arial"/>
          <w:sz w:val="17"/>
          <w:szCs w:val="17"/>
          <w:i w:val="1"/>
          <w:iCs w:val="1"/>
          <w:color w:val="auto"/>
        </w:rPr>
        <w:t>“Operating lease liability”</w:t>
      </w:r>
      <w:r>
        <w:rPr>
          <w:rFonts w:ascii="Arial" w:cs="Arial" w:eastAsia="Arial" w:hAnsi="Arial"/>
          <w:sz w:val="17"/>
          <w:szCs w:val="17"/>
          <w:color w:val="auto"/>
        </w:rPr>
        <w:t xml:space="preserve"> on the Company’s consolidated balance sheets. Operating lease ROU assets and liabilities are recognized at the commencement date of an arrangement based on the present value of lease payments over the lease term. In addition to the present value of lease payments, the operating lease ROU asset would also include any lease payments made to the lessor prior to lease commencement less any lease incentives and initial direct costs incurred, if any. Lease expense for operating lease payments is recognized on a straight-line basis over the lease term and are presented as “</w:t>
      </w: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in the consolidated statements of operations. Certain leases have payment terms that vary based on the usage of the underlying assets. Variable lease payments are not included in ROU assets and lease liabilities. For all operating leases, lease and non-lease components are accounted for as a single lease component.</w:t>
      </w:r>
    </w:p>
    <w:p>
      <w:pPr>
        <w:spacing w:after="0" w:line="185" w:lineRule="exact"/>
        <w:rPr>
          <w:sz w:val="20"/>
          <w:szCs w:val="20"/>
          <w:color w:val="auto"/>
        </w:rPr>
      </w:pPr>
    </w:p>
    <w:p>
      <w:pPr>
        <w:ind w:left="60" w:right="579"/>
        <w:spacing w:after="0" w:line="342" w:lineRule="auto"/>
        <w:rPr>
          <w:sz w:val="20"/>
          <w:szCs w:val="20"/>
          <w:color w:val="auto"/>
        </w:rPr>
      </w:pPr>
      <w:r>
        <w:rPr>
          <w:rFonts w:ascii="Arial" w:cs="Arial" w:eastAsia="Arial" w:hAnsi="Arial"/>
          <w:sz w:val="16"/>
          <w:szCs w:val="16"/>
          <w:color w:val="auto"/>
        </w:rPr>
        <w:t>As a non-operator and having adequate liquidity, the Company has generally not entered into lease transactions. The Company’s only operating lease is for corporate office space in Houston, Texas, effective May 1, 2019 and amended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5" w:name="page76"/>
    <w:bookmarkEnd w:id="7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EVOLUTION PETROLEUM CORPORATION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60" w:right="939"/>
        <w:spacing w:after="0" w:line="277" w:lineRule="auto"/>
        <w:rPr>
          <w:sz w:val="20"/>
          <w:szCs w:val="20"/>
          <w:color w:val="auto"/>
        </w:rPr>
      </w:pPr>
      <w:r>
        <w:rPr>
          <w:rFonts w:ascii="Arial" w:cs="Arial" w:eastAsia="Arial" w:hAnsi="Arial"/>
          <w:sz w:val="18"/>
          <w:szCs w:val="18"/>
          <w:color w:val="auto"/>
        </w:rPr>
        <w:t>November 30, 2022 and set to expire September 30, 2026. The Company has no leases that meet the criteria for classification as a finance lease or a short-term lease.</w:t>
      </w:r>
    </w:p>
    <w:p>
      <w:pPr>
        <w:spacing w:after="0" w:line="170" w:lineRule="exact"/>
        <w:rPr>
          <w:sz w:val="20"/>
          <w:szCs w:val="20"/>
          <w:color w:val="auto"/>
        </w:rPr>
      </w:pPr>
    </w:p>
    <w:p>
      <w:pPr>
        <w:ind w:left="60" w:right="119"/>
        <w:spacing w:after="0" w:line="293" w:lineRule="auto"/>
        <w:rPr>
          <w:sz w:val="20"/>
          <w:szCs w:val="20"/>
          <w:color w:val="auto"/>
        </w:rPr>
      </w:pPr>
      <w:r>
        <w:rPr>
          <w:rFonts w:ascii="Arial" w:cs="Arial" w:eastAsia="Arial" w:hAnsi="Arial"/>
          <w:sz w:val="16"/>
          <w:szCs w:val="16"/>
          <w:color w:val="auto"/>
        </w:rPr>
        <w:t xml:space="preserve">The Company makes certain assumptions and judgments when evaluating a contract that meets the definition of a lease under ACS 842, </w:t>
      </w:r>
      <w:r>
        <w:rPr>
          <w:rFonts w:ascii="Arial" w:cs="Arial" w:eastAsia="Arial" w:hAnsi="Arial"/>
          <w:sz w:val="16"/>
          <w:szCs w:val="16"/>
          <w:i w:val="1"/>
          <w:iCs w:val="1"/>
          <w:color w:val="auto"/>
        </w:rPr>
        <w:t>Leases</w:t>
      </w:r>
      <w:r>
        <w:rPr>
          <w:rFonts w:ascii="Arial" w:cs="Arial" w:eastAsia="Arial" w:hAnsi="Arial"/>
          <w:sz w:val="16"/>
          <w:szCs w:val="16"/>
          <w:color w:val="auto"/>
        </w:rPr>
        <w:t>. As the Company’s operating leases have not provide an implicit rate, an incremental borrowing rate was calculated using information available at the commencement date of the lease. The incremental borrowing rate for a lease is the rate of interest for which the Company would pay on a collateralized basis to borrow an amount equal to the lease payments under similar terms. The lease term was determined by considering any option available to extend or to early terminate the lease which the Company believed was reasonably certain to be exercised.</w:t>
      </w:r>
    </w:p>
    <w:p>
      <w:pPr>
        <w:spacing w:after="0" w:line="164"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The table below summarized the Company’s leases for the years ended June 30, 2023 and 2022 (in thousands, except years and discount rate):</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9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5"/>
          </w:tcPr>
          <w:p>
            <w:pPr>
              <w:jc w:val="right"/>
              <w:ind w:right="419"/>
              <w:spacing w:after="0"/>
              <w:rPr>
                <w:sz w:val="20"/>
                <w:szCs w:val="20"/>
                <w:color w:val="auto"/>
              </w:rPr>
            </w:pPr>
            <w:r>
              <w:rPr>
                <w:rFonts w:ascii="Arial" w:cs="Arial" w:eastAsia="Arial" w:hAnsi="Arial"/>
                <w:sz w:val="16"/>
                <w:szCs w:val="16"/>
                <w:b w:val="1"/>
                <w:bCs w:val="1"/>
                <w:color w:val="auto"/>
              </w:rPr>
              <w:t>Years Ended June 30,</w:t>
            </w: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9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2023</w:t>
            </w:r>
          </w:p>
        </w:tc>
        <w:tc>
          <w:tcPr>
            <w:tcW w:w="1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940" w:type="dxa"/>
            <w:vAlign w:val="bottom"/>
          </w:tcPr>
          <w:p>
            <w:pPr>
              <w:ind w:left="20"/>
              <w:spacing w:after="0"/>
              <w:rPr>
                <w:sz w:val="20"/>
                <w:szCs w:val="20"/>
                <w:color w:val="auto"/>
              </w:rPr>
            </w:pPr>
            <w:r>
              <w:rPr>
                <w:rFonts w:ascii="Arial" w:cs="Arial" w:eastAsia="Arial" w:hAnsi="Arial"/>
                <w:sz w:val="16"/>
                <w:szCs w:val="16"/>
                <w:b w:val="1"/>
                <w:bCs w:val="1"/>
                <w:color w:val="auto"/>
              </w:rPr>
              <w:t>Statements of Operations:</w:t>
            </w: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 costs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740" w:type="dxa"/>
            <w:vAlign w:val="bottom"/>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Variable lease costs</w:t>
            </w: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2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lease costs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Statements of Cash Flow:</w:t>
            </w: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59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tcPr>
          <w:p>
            <w:pPr>
              <w:ind w:left="220"/>
              <w:spacing w:after="0"/>
              <w:rPr>
                <w:sz w:val="20"/>
                <w:szCs w:val="20"/>
                <w:color w:val="auto"/>
              </w:rPr>
            </w:pPr>
            <w:r>
              <w:rPr>
                <w:rFonts w:ascii="Arial" w:cs="Arial" w:eastAsia="Arial" w:hAnsi="Arial"/>
                <w:sz w:val="16"/>
                <w:szCs w:val="16"/>
                <w:color w:val="auto"/>
              </w:rPr>
              <w:t>Operating cash flows from operating leases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62</w:t>
            </w:r>
          </w:p>
        </w:tc>
        <w:tc>
          <w:tcPr>
            <w:tcW w:w="740" w:type="dxa"/>
            <w:vAlign w:val="bottom"/>
            <w:gridSpan w:val="3"/>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tcPr>
          <w:p>
            <w:pPr>
              <w:ind w:left="20"/>
              <w:spacing w:after="0"/>
              <w:rPr>
                <w:sz w:val="20"/>
                <w:szCs w:val="20"/>
                <w:color w:val="auto"/>
              </w:rPr>
            </w:pPr>
            <w:r>
              <w:rPr>
                <w:rFonts w:ascii="Arial" w:cs="Arial" w:eastAsia="Arial" w:hAnsi="Arial"/>
                <w:sz w:val="16"/>
                <w:szCs w:val="16"/>
                <w:b w:val="1"/>
                <w:bCs w:val="1"/>
                <w:color w:val="auto"/>
              </w:rPr>
              <w:t>Other:</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ROU assets obtained in exchange for new operating lease liabilities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740" w:type="dxa"/>
            <w:vAlign w:val="bottom"/>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tcPr>
          <w:p>
            <w:pPr>
              <w:ind w:left="120"/>
              <w:spacing w:after="0"/>
              <w:rPr>
                <w:sz w:val="20"/>
                <w:szCs w:val="20"/>
                <w:color w:val="auto"/>
              </w:rPr>
            </w:pPr>
            <w:r>
              <w:rPr>
                <w:rFonts w:ascii="Arial" w:cs="Arial" w:eastAsia="Arial" w:hAnsi="Arial"/>
                <w:sz w:val="16"/>
                <w:szCs w:val="16"/>
                <w:color w:val="auto"/>
              </w:rPr>
              <w:t>Weighted average remaining lease term in years</w:t>
            </w: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3.18</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0.42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Weighted average discount rate</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30, 2023</w:t>
            </w:r>
          </w:p>
        </w:tc>
        <w:tc>
          <w:tcPr>
            <w:tcW w:w="1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b w:val="1"/>
                <w:bCs w:val="1"/>
                <w:color w:val="auto"/>
                <w:w w:val="90"/>
              </w:rPr>
              <w:t>June 30, 2022</w:t>
            </w:r>
          </w:p>
        </w:tc>
      </w:tr>
      <w:tr>
        <w:trPr>
          <w:trHeight w:val="199"/>
        </w:trPr>
        <w:tc>
          <w:tcPr>
            <w:tcW w:w="6100" w:type="dxa"/>
            <w:vAlign w:val="bottom"/>
          </w:tcPr>
          <w:p>
            <w:pPr>
              <w:ind w:left="20"/>
              <w:spacing w:after="0"/>
              <w:rPr>
                <w:sz w:val="20"/>
                <w:szCs w:val="20"/>
                <w:color w:val="auto"/>
              </w:rPr>
            </w:pPr>
            <w:r>
              <w:rPr>
                <w:rFonts w:ascii="Arial" w:cs="Arial" w:eastAsia="Arial" w:hAnsi="Arial"/>
                <w:sz w:val="16"/>
                <w:szCs w:val="16"/>
                <w:b w:val="1"/>
                <w:bCs w:val="1"/>
                <w:color w:val="auto"/>
              </w:rPr>
              <w:t>Balance Sheets:</w:t>
            </w: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r>
      <w:tr>
        <w:trPr>
          <w:trHeight w:val="205"/>
        </w:trPr>
        <w:tc>
          <w:tcPr>
            <w:tcW w:w="6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 ROU asset (included in other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03"/>
        </w:trPr>
        <w:tc>
          <w:tcPr>
            <w:tcW w:w="6100" w:type="dxa"/>
            <w:vAlign w:val="bottom"/>
          </w:tcPr>
          <w:p>
            <w:pPr>
              <w:ind w:left="120"/>
              <w:spacing w:after="0"/>
              <w:rPr>
                <w:sz w:val="20"/>
                <w:szCs w:val="20"/>
                <w:color w:val="auto"/>
              </w:rPr>
            </w:pPr>
            <w:r>
              <w:rPr>
                <w:rFonts w:ascii="Arial" w:cs="Arial" w:eastAsia="Arial" w:hAnsi="Arial"/>
                <w:sz w:val="16"/>
                <w:szCs w:val="16"/>
                <w:color w:val="auto"/>
              </w:rPr>
              <w:t>Accrued liabilities and other - current</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59</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03"/>
        </w:trPr>
        <w:tc>
          <w:tcPr>
            <w:tcW w:w="6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 liability - long-term</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6" w:name="page77"/>
    <w:bookmarkEnd w:id="7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EVOLUTION PETROLEUM CORPORATION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color w:val="auto"/>
        </w:rPr>
        <w:t>As of June 30, 2023, the future minimum lease payments associated with the Company’s non-cancellable operating lease for office space are as follows (in thousands):</w:t>
      </w:r>
    </w:p>
    <w:p>
      <w:pPr>
        <w:spacing w:after="0" w:line="184" w:lineRule="exact"/>
        <w:rPr>
          <w:sz w:val="20"/>
          <w:szCs w:val="20"/>
          <w:color w:val="auto"/>
        </w:rPr>
      </w:pPr>
    </w:p>
    <w:tbl>
      <w:tblPr>
        <w:tblLayout w:type="fixed"/>
        <w:tblInd w:w="940" w:type="dxa"/>
        <w:tblCellMar>
          <w:top w:w="0" w:type="dxa"/>
          <w:left w:w="0" w:type="dxa"/>
          <w:bottom w:w="0" w:type="dxa"/>
          <w:right w:w="0" w:type="dxa"/>
        </w:tblCellMar>
      </w:tblPr>
      <w:tr>
        <w:trPr>
          <w:trHeight w:val="213"/>
        </w:trPr>
        <w:tc>
          <w:tcPr>
            <w:tcW w:w="5740" w:type="dxa"/>
            <w:vAlign w:val="bottom"/>
            <w:gridSpan w:val="2"/>
          </w:tcPr>
          <w:p>
            <w:pPr>
              <w:spacing w:after="0"/>
              <w:rPr>
                <w:sz w:val="20"/>
                <w:szCs w:val="20"/>
                <w:color w:val="auto"/>
              </w:rPr>
            </w:pPr>
            <w:r>
              <w:rPr>
                <w:rFonts w:ascii="Arial" w:cs="Arial" w:eastAsia="Arial" w:hAnsi="Arial"/>
                <w:sz w:val="16"/>
                <w:szCs w:val="16"/>
                <w:b w:val="1"/>
                <w:bCs w:val="1"/>
                <w:color w:val="auto"/>
              </w:rPr>
              <w:t>Fiscal Year</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b w:val="1"/>
                <w:bCs w:val="1"/>
                <w:color w:val="auto"/>
                <w:w w:val="90"/>
              </w:rPr>
              <w:t>June 30, 2023</w:t>
            </w:r>
          </w:p>
        </w:tc>
      </w:tr>
      <w:tr>
        <w:trPr>
          <w:trHeight w:val="199"/>
        </w:trPr>
        <w:tc>
          <w:tcPr>
            <w:tcW w:w="20" w:type="dxa"/>
            <w:vAlign w:val="bottom"/>
          </w:tcPr>
          <w:p>
            <w:pPr>
              <w:spacing w:after="0"/>
              <w:rPr>
                <w:sz w:val="17"/>
                <w:szCs w:val="17"/>
                <w:color w:val="auto"/>
              </w:rPr>
            </w:pPr>
          </w:p>
        </w:tc>
        <w:tc>
          <w:tcPr>
            <w:tcW w:w="5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2024</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03"/>
        </w:trPr>
        <w:tc>
          <w:tcPr>
            <w:tcW w:w="20" w:type="dxa"/>
            <w:vAlign w:val="bottom"/>
          </w:tcPr>
          <w:p>
            <w:pPr>
              <w:spacing w:after="0"/>
              <w:rPr>
                <w:sz w:val="17"/>
                <w:szCs w:val="17"/>
                <w:color w:val="auto"/>
              </w:rPr>
            </w:pPr>
          </w:p>
        </w:tc>
        <w:tc>
          <w:tcPr>
            <w:tcW w:w="5720" w:type="dxa"/>
            <w:vAlign w:val="bottom"/>
          </w:tcPr>
          <w:p>
            <w:pPr>
              <w:spacing w:after="0"/>
              <w:rPr>
                <w:sz w:val="20"/>
                <w:szCs w:val="20"/>
                <w:color w:val="auto"/>
              </w:rPr>
            </w:pPr>
            <w:r>
              <w:rPr>
                <w:rFonts w:ascii="Arial" w:cs="Arial" w:eastAsia="Arial" w:hAnsi="Arial"/>
                <w:sz w:val="16"/>
                <w:szCs w:val="16"/>
                <w:color w:val="auto"/>
              </w:rPr>
              <w:t>2025</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03"/>
        </w:trPr>
        <w:tc>
          <w:tcPr>
            <w:tcW w:w="20" w:type="dxa"/>
            <w:vAlign w:val="bottom"/>
          </w:tcPr>
          <w:p>
            <w:pPr>
              <w:spacing w:after="0"/>
              <w:rPr>
                <w:sz w:val="17"/>
                <w:szCs w:val="17"/>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6"/>
                <w:szCs w:val="16"/>
                <w:color w:val="auto"/>
              </w:rPr>
              <w:t>2026</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03"/>
        </w:trPr>
        <w:tc>
          <w:tcPr>
            <w:tcW w:w="20" w:type="dxa"/>
            <w:vAlign w:val="bottom"/>
          </w:tcPr>
          <w:p>
            <w:pPr>
              <w:spacing w:after="0"/>
              <w:rPr>
                <w:sz w:val="17"/>
                <w:szCs w:val="17"/>
                <w:color w:val="auto"/>
              </w:rPr>
            </w:pPr>
          </w:p>
        </w:tc>
        <w:tc>
          <w:tcPr>
            <w:tcW w:w="5720" w:type="dxa"/>
            <w:vAlign w:val="bottom"/>
          </w:tcPr>
          <w:p>
            <w:pPr>
              <w:spacing w:after="0"/>
              <w:rPr>
                <w:sz w:val="20"/>
                <w:szCs w:val="20"/>
                <w:color w:val="auto"/>
              </w:rPr>
            </w:pPr>
            <w:r>
              <w:rPr>
                <w:rFonts w:ascii="Arial" w:cs="Arial" w:eastAsia="Arial" w:hAnsi="Arial"/>
                <w:sz w:val="16"/>
                <w:szCs w:val="16"/>
                <w:color w:val="auto"/>
              </w:rPr>
              <w:t>2027</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03"/>
        </w:trPr>
        <w:tc>
          <w:tcPr>
            <w:tcW w:w="20" w:type="dxa"/>
            <w:vAlign w:val="bottom"/>
          </w:tcPr>
          <w:p>
            <w:pPr>
              <w:spacing w:after="0"/>
              <w:rPr>
                <w:sz w:val="17"/>
                <w:szCs w:val="17"/>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6"/>
                <w:szCs w:val="16"/>
                <w:color w:val="auto"/>
              </w:rPr>
              <w:t>2028</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20" w:type="dxa"/>
            <w:vAlign w:val="bottom"/>
          </w:tcPr>
          <w:p>
            <w:pPr>
              <w:spacing w:after="0"/>
              <w:rPr>
                <w:sz w:val="17"/>
                <w:szCs w:val="17"/>
                <w:color w:val="auto"/>
              </w:rPr>
            </w:pPr>
          </w:p>
        </w:tc>
        <w:tc>
          <w:tcPr>
            <w:tcW w:w="57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Thereafter</w:t>
            </w:r>
          </w:p>
        </w:tc>
        <w:tc>
          <w:tcPr>
            <w:tcW w:w="2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20" w:type="dxa"/>
            <w:vAlign w:val="bottom"/>
          </w:tcPr>
          <w:p>
            <w:pPr>
              <w:spacing w:after="0"/>
              <w:rPr>
                <w:sz w:val="17"/>
                <w:szCs w:val="17"/>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6"/>
                <w:szCs w:val="16"/>
                <w:color w:val="auto"/>
              </w:rPr>
              <w:t>Total operating lease payments</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r>
      <w:tr>
        <w:trPr>
          <w:trHeight w:val="203"/>
        </w:trPr>
        <w:tc>
          <w:tcPr>
            <w:tcW w:w="20" w:type="dxa"/>
            <w:vAlign w:val="bottom"/>
          </w:tcPr>
          <w:p>
            <w:pPr>
              <w:spacing w:after="0"/>
              <w:rPr>
                <w:sz w:val="17"/>
                <w:szCs w:val="17"/>
                <w:color w:val="auto"/>
              </w:rPr>
            </w:pPr>
          </w:p>
        </w:tc>
        <w:tc>
          <w:tcPr>
            <w:tcW w:w="57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Less: discount to present value</w:t>
            </w:r>
          </w:p>
        </w:tc>
        <w:tc>
          <w:tcPr>
            <w:tcW w:w="2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196"/>
        </w:trPr>
        <w:tc>
          <w:tcPr>
            <w:tcW w:w="20" w:type="dxa"/>
            <w:vAlign w:val="bottom"/>
          </w:tcPr>
          <w:p>
            <w:pPr>
              <w:spacing w:after="0"/>
              <w:rPr>
                <w:sz w:val="17"/>
                <w:szCs w:val="17"/>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6"/>
                <w:szCs w:val="16"/>
                <w:color w:val="auto"/>
              </w:rPr>
              <w:t>Total operating lease liabilities</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r>
      <w:tr>
        <w:trPr>
          <w:trHeight w:val="203"/>
        </w:trPr>
        <w:tc>
          <w:tcPr>
            <w:tcW w:w="20" w:type="dxa"/>
            <w:vAlign w:val="bottom"/>
          </w:tcPr>
          <w:p>
            <w:pPr>
              <w:spacing w:after="0"/>
              <w:rPr>
                <w:sz w:val="17"/>
                <w:szCs w:val="17"/>
                <w:color w:val="auto"/>
              </w:rPr>
            </w:pPr>
          </w:p>
        </w:tc>
        <w:tc>
          <w:tcPr>
            <w:tcW w:w="57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Less: current operating lease liabilities</w:t>
            </w:r>
          </w:p>
        </w:tc>
        <w:tc>
          <w:tcPr>
            <w:tcW w:w="2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r>
      <w:tr>
        <w:trPr>
          <w:trHeight w:val="196"/>
        </w:trPr>
        <w:tc>
          <w:tcPr>
            <w:tcW w:w="20" w:type="dxa"/>
            <w:vAlign w:val="bottom"/>
          </w:tcPr>
          <w:p>
            <w:pPr>
              <w:spacing w:after="0"/>
              <w:rPr>
                <w:sz w:val="17"/>
                <w:szCs w:val="17"/>
                <w:color w:val="auto"/>
              </w:rPr>
            </w:pPr>
          </w:p>
        </w:tc>
        <w:tc>
          <w:tcPr>
            <w:tcW w:w="5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Non current operating lease liabilities</w:t>
            </w: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The Company applied the following practical expedients as provided in the standards update which provide elections to not reassess:</w:t>
      </w:r>
    </w:p>
    <w:p>
      <w:pPr>
        <w:spacing w:after="0" w:line="170" w:lineRule="exact"/>
        <w:rPr>
          <w:sz w:val="20"/>
          <w:szCs w:val="20"/>
          <w:color w:val="auto"/>
        </w:rPr>
      </w:pPr>
    </w:p>
    <w:p>
      <w:pPr>
        <w:ind w:left="1040" w:right="379" w:hanging="315"/>
        <w:spacing w:after="0" w:line="255"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Not to apply the recognition requirements in the lease standard to short-term leases (a lease that at commencement date has a lease term of 12 months or less and does not contain a purchase option that the Company is reasonably certain to exercise).</w:t>
      </w:r>
    </w:p>
    <w:p>
      <w:pPr>
        <w:spacing w:after="0" w:line="2" w:lineRule="exact"/>
        <w:rPr>
          <w:rFonts w:ascii="Arial" w:cs="Arial" w:eastAsia="Arial" w:hAnsi="Arial"/>
          <w:sz w:val="18"/>
          <w:szCs w:val="18"/>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an expired or existing pre-adoption date contracts contained leases.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Lease classification of any expired or existing leases.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Initial direct costs for any expired or existing leases.</w:t>
      </w:r>
    </w:p>
    <w:p>
      <w:pPr>
        <w:spacing w:after="0" w:line="9" w:lineRule="exact"/>
        <w:rPr>
          <w:rFonts w:ascii="Arial" w:cs="Arial" w:eastAsia="Arial" w:hAnsi="Arial"/>
          <w:sz w:val="18"/>
          <w:szCs w:val="18"/>
          <w:color w:val="auto"/>
        </w:rPr>
      </w:pPr>
    </w:p>
    <w:p>
      <w:pPr>
        <w:ind w:left="1040" w:right="919" w:hanging="315"/>
        <w:spacing w:after="0" w:line="260"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Not to separate lease components from non-lease components in a contract and accounting for the combination as a lease (reflected by asset class).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7" w:name="page78"/>
    <w:bookmarkEnd w:id="7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EVOLUTION PETROLEUM CORPORATION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14. Additional Financial Statement Information</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Certain amounts on the consolidated balance sheets are comprised of the following (in thousands):</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220" w:type="dxa"/>
            <w:vAlign w:val="bottom"/>
            <w:tcBorders>
              <w:bottom w:val="single" w:sz="8" w:color="CCEEFF"/>
            </w:tcBorders>
          </w:tcPr>
          <w:p>
            <w:pPr>
              <w:spacing w:after="0"/>
              <w:rPr>
                <w:sz w:val="18"/>
                <w:szCs w:val="18"/>
                <w:color w:val="auto"/>
              </w:rPr>
            </w:pPr>
          </w:p>
        </w:tc>
        <w:tc>
          <w:tcPr>
            <w:tcW w:w="250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6"/>
              </w:rPr>
              <w:t>June 30, 2023</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6"/>
              </w:rPr>
              <w:t>June 30, 2022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Prepaid expenses and other current assets:</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tcPr>
          <w:p>
            <w:pPr>
              <w:spacing w:after="0" w:line="202" w:lineRule="exact"/>
              <w:rPr>
                <w:sz w:val="20"/>
                <w:szCs w:val="20"/>
                <w:color w:val="auto"/>
              </w:rPr>
            </w:pPr>
            <w:r>
              <w:rPr>
                <w:rFonts w:ascii="Arial" w:cs="Arial" w:eastAsia="Arial" w:hAnsi="Arial"/>
                <w:sz w:val="16"/>
                <w:szCs w:val="16"/>
                <w:color w:val="auto"/>
              </w:rPr>
              <w:t>Receivable for settlement proceeds from acquisitions</w:t>
            </w:r>
            <w:r>
              <w:rPr>
                <w:rFonts w:ascii="Arial" w:cs="Arial" w:eastAsia="Arial" w:hAnsi="Arial"/>
                <w:sz w:val="23"/>
                <w:szCs w:val="23"/>
                <w:i w:val="1"/>
                <w:iCs w:val="1"/>
                <w:color w:val="auto"/>
                <w:vertAlign w:val="superscript"/>
              </w:rPr>
              <w:t>(1)</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2,263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receivables</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tcPr>
          <w:p>
            <w:pPr>
              <w:spacing w:after="0"/>
              <w:rPr>
                <w:sz w:val="20"/>
                <w:szCs w:val="20"/>
                <w:color w:val="auto"/>
              </w:rPr>
            </w:pPr>
            <w:r>
              <w:rPr>
                <w:rFonts w:ascii="Arial" w:cs="Arial" w:eastAsia="Arial" w:hAnsi="Arial"/>
                <w:sz w:val="16"/>
                <w:szCs w:val="16"/>
                <w:color w:val="auto"/>
              </w:rPr>
              <w:t>Prepaid insurance</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727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Prepaid federal and state income taxes</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tcPr>
          <w:p>
            <w:pPr>
              <w:spacing w:after="0"/>
              <w:rPr>
                <w:sz w:val="20"/>
                <w:szCs w:val="20"/>
                <w:color w:val="auto"/>
              </w:rPr>
            </w:pPr>
            <w:r>
              <w:rPr>
                <w:rFonts w:ascii="Arial" w:cs="Arial" w:eastAsia="Arial" w:hAnsi="Arial"/>
                <w:sz w:val="16"/>
                <w:szCs w:val="16"/>
                <w:color w:val="auto"/>
              </w:rPr>
              <w:t>Prepaid subscription and licenses</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Carryback of EOR tax credit</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Prepaid other</w:t>
            </w:r>
          </w:p>
        </w:tc>
        <w:tc>
          <w:tcPr>
            <w:tcW w:w="1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prepaid expenses and other current assets</w:t>
            </w:r>
          </w:p>
        </w:tc>
        <w:tc>
          <w:tcPr>
            <w:tcW w:w="1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2,277</w:t>
            </w: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2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Other assets:</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tcPr>
          <w:p>
            <w:pPr>
              <w:spacing w:after="0" w:line="202" w:lineRule="exact"/>
              <w:rPr>
                <w:sz w:val="20"/>
                <w:szCs w:val="20"/>
                <w:color w:val="auto"/>
              </w:rPr>
            </w:pPr>
            <w:r>
              <w:rPr>
                <w:rFonts w:ascii="Arial" w:cs="Arial" w:eastAsia="Arial" w:hAnsi="Arial"/>
                <w:sz w:val="16"/>
                <w:szCs w:val="16"/>
                <w:color w:val="auto"/>
              </w:rPr>
              <w:t>Deposit</w:t>
            </w:r>
            <w:r>
              <w:rPr>
                <w:rFonts w:ascii="Arial" w:cs="Arial" w:eastAsia="Arial" w:hAnsi="Arial"/>
                <w:sz w:val="23"/>
                <w:szCs w:val="23"/>
                <w:i w:val="1"/>
                <w:iCs w:val="1"/>
                <w:color w:val="auto"/>
                <w:vertAlign w:val="superscript"/>
              </w:rPr>
              <w:t>(2)</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1,158</w:t>
            </w:r>
          </w:p>
        </w:tc>
        <w:tc>
          <w:tcPr>
            <w:tcW w:w="38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1,150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Right of use asset under operating lease</w:t>
            </w:r>
          </w:p>
        </w:tc>
        <w:tc>
          <w:tcPr>
            <w:tcW w:w="1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36"/>
        </w:trPr>
        <w:tc>
          <w:tcPr>
            <w:tcW w:w="4740" w:type="dxa"/>
            <w:vAlign w:val="bottom"/>
            <w:gridSpan w:val="3"/>
          </w:tcPr>
          <w:p>
            <w:pPr>
              <w:ind w:left="20"/>
              <w:spacing w:after="0"/>
              <w:rPr>
                <w:sz w:val="20"/>
                <w:szCs w:val="20"/>
                <w:color w:val="auto"/>
              </w:rPr>
            </w:pPr>
            <w:r>
              <w:rPr>
                <w:rFonts w:ascii="Arial" w:cs="Arial" w:eastAsia="Arial" w:hAnsi="Arial"/>
                <w:sz w:val="16"/>
                <w:szCs w:val="16"/>
                <w:color w:val="auto"/>
              </w:rPr>
              <w:t>Total other assets</w:t>
            </w:r>
          </w:p>
        </w:tc>
        <w:tc>
          <w:tcPr>
            <w:tcW w:w="11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1,341</w:t>
            </w:r>
          </w:p>
        </w:tc>
        <w:tc>
          <w:tcPr>
            <w:tcW w:w="220" w:type="dxa"/>
            <w:vAlign w:val="bottom"/>
          </w:tcPr>
          <w:p>
            <w:pPr>
              <w:spacing w:after="0"/>
              <w:rPr>
                <w:sz w:val="20"/>
                <w:szCs w:val="20"/>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1,171</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220" w:type="dxa"/>
            <w:vAlign w:val="bottom"/>
            <w:tcBorders>
              <w:top w:val="single" w:sz="8" w:color="CCEEFF"/>
            </w:tcBorders>
            <w:shd w:val="clear" w:color="auto" w:fill="CCEEFF"/>
          </w:tcPr>
          <w:p>
            <w:pPr>
              <w:spacing w:after="0"/>
              <w:rPr>
                <w:sz w:val="15"/>
                <w:szCs w:val="15"/>
                <w:color w:val="auto"/>
              </w:rPr>
            </w:pPr>
          </w:p>
        </w:tc>
        <w:tc>
          <w:tcPr>
            <w:tcW w:w="25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gridSpan w:val="2"/>
          </w:tcPr>
          <w:p>
            <w:pPr>
              <w:spacing w:after="0"/>
              <w:rPr>
                <w:sz w:val="20"/>
                <w:szCs w:val="20"/>
                <w:color w:val="auto"/>
              </w:rPr>
            </w:pPr>
            <w:r>
              <w:rPr>
                <w:rFonts w:ascii="Arial" w:cs="Arial" w:eastAsia="Arial" w:hAnsi="Arial"/>
                <w:sz w:val="16"/>
                <w:szCs w:val="16"/>
                <w:b w:val="1"/>
                <w:bCs w:val="1"/>
                <w:color w:val="auto"/>
              </w:rPr>
              <w:t>Accrued liabilities and other:</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Accrued payables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3,566</w:t>
            </w:r>
          </w:p>
        </w:tc>
        <w:tc>
          <w:tcPr>
            <w:tcW w:w="38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gridSpan w:val="2"/>
          </w:tcPr>
          <w:p>
            <w:pPr>
              <w:spacing w:after="0"/>
              <w:rPr>
                <w:sz w:val="20"/>
                <w:szCs w:val="20"/>
                <w:color w:val="auto"/>
              </w:rPr>
            </w:pPr>
            <w:r>
              <w:rPr>
                <w:rFonts w:ascii="Arial" w:cs="Arial" w:eastAsia="Arial" w:hAnsi="Arial"/>
                <w:sz w:val="16"/>
                <w:szCs w:val="16"/>
                <w:color w:val="auto"/>
              </w:rPr>
              <w:t>Accrued capital expenditures</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Accrued incentive and other compensation</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tcPr>
          <w:p>
            <w:pPr>
              <w:spacing w:after="0" w:line="202" w:lineRule="exact"/>
              <w:rPr>
                <w:sz w:val="20"/>
                <w:szCs w:val="20"/>
                <w:color w:val="auto"/>
              </w:rPr>
            </w:pPr>
            <w:r>
              <w:rPr>
                <w:rFonts w:ascii="Arial" w:cs="Arial" w:eastAsia="Arial" w:hAnsi="Arial"/>
                <w:sz w:val="16"/>
                <w:szCs w:val="16"/>
                <w:color w:val="auto"/>
              </w:rPr>
              <w:t>Accrued royalties payable</w:t>
            </w:r>
            <w:r>
              <w:rPr>
                <w:rFonts w:ascii="Arial" w:cs="Arial" w:eastAsia="Arial" w:hAnsi="Arial"/>
                <w:sz w:val="23"/>
                <w:szCs w:val="23"/>
                <w:i w:val="1"/>
                <w:iCs w:val="1"/>
                <w:color w:val="auto"/>
                <w:vertAlign w:val="superscript"/>
              </w:rPr>
              <w:t>(3)</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977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Accrued taxes other than income</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tcPr>
          <w:p>
            <w:pPr>
              <w:spacing w:after="0"/>
              <w:rPr>
                <w:sz w:val="20"/>
                <w:szCs w:val="20"/>
                <w:color w:val="auto"/>
              </w:rPr>
            </w:pPr>
            <w:r>
              <w:rPr>
                <w:rFonts w:ascii="Arial" w:cs="Arial" w:eastAsia="Arial" w:hAnsi="Arial"/>
                <w:sz w:val="16"/>
                <w:szCs w:val="16"/>
                <w:color w:val="auto"/>
              </w:rPr>
              <w:t>Accrued severance</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Accrued settlements on derivative contracts</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tcPr>
          <w:p>
            <w:pPr>
              <w:spacing w:after="0"/>
              <w:rPr>
                <w:sz w:val="20"/>
                <w:szCs w:val="20"/>
                <w:color w:val="auto"/>
              </w:rPr>
            </w:pPr>
            <w:r>
              <w:rPr>
                <w:rFonts w:ascii="Arial" w:cs="Arial" w:eastAsia="Arial" w:hAnsi="Arial"/>
                <w:sz w:val="16"/>
                <w:szCs w:val="16"/>
                <w:color w:val="auto"/>
              </w:rPr>
              <w:t>Operating lease liability</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 retirement obligations due within one year</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Accrued - other</w:t>
            </w:r>
          </w:p>
        </w:tc>
        <w:tc>
          <w:tcPr>
            <w:tcW w:w="1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accrued liabilities and other</w:t>
            </w:r>
          </w:p>
        </w:tc>
        <w:tc>
          <w:tcPr>
            <w:tcW w:w="1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6,027</w:t>
            </w: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25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159" w:hanging="330"/>
        <w:spacing w:after="0" w:line="219" w:lineRule="auto"/>
        <w:tabs>
          <w:tab w:leader="none" w:pos="380" w:val="left"/>
        </w:tabs>
        <w:numPr>
          <w:ilvl w:val="0"/>
          <w:numId w:val="32"/>
        </w:numPr>
        <w:rPr>
          <w:rFonts w:ascii="Arial" w:cs="Arial" w:eastAsia="Arial" w:hAnsi="Arial"/>
          <w:sz w:val="27"/>
          <w:szCs w:val="27"/>
          <w:i w:val="1"/>
          <w:iCs w:val="1"/>
          <w:color w:val="auto"/>
          <w:vertAlign w:val="superscript"/>
        </w:rPr>
      </w:pPr>
      <w:r>
        <w:rPr>
          <w:rFonts w:ascii="Arial" w:cs="Arial" w:eastAsia="Arial" w:hAnsi="Arial"/>
          <w:sz w:val="18"/>
          <w:szCs w:val="18"/>
          <w:color w:val="auto"/>
        </w:rPr>
        <w:t xml:space="preserve">Receivables as of June 30, 2022 related to customary purchase adjustments of $1.6 million and $0.7 million related to the Jonah Field Acquisition and Williston Basin Acquisition, respectively. See Note 3,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for a further discussion.</w:t>
      </w:r>
    </w:p>
    <w:p>
      <w:pPr>
        <w:spacing w:after="0" w:line="1" w:lineRule="exact"/>
        <w:rPr>
          <w:rFonts w:ascii="Arial" w:cs="Arial" w:eastAsia="Arial" w:hAnsi="Arial"/>
          <w:sz w:val="27"/>
          <w:szCs w:val="27"/>
          <w:i w:val="1"/>
          <w:iCs w:val="1"/>
          <w:color w:val="auto"/>
          <w:vertAlign w:val="superscript"/>
        </w:rPr>
      </w:pPr>
    </w:p>
    <w:p>
      <w:pPr>
        <w:ind w:left="380" w:right="99" w:hanging="330"/>
        <w:spacing w:after="0" w:line="200" w:lineRule="auto"/>
        <w:tabs>
          <w:tab w:leader="none" w:pos="380" w:val="left"/>
        </w:tabs>
        <w:numPr>
          <w:ilvl w:val="0"/>
          <w:numId w:val="32"/>
        </w:numPr>
        <w:rPr>
          <w:rFonts w:ascii="Arial" w:cs="Arial" w:eastAsia="Arial" w:hAnsi="Arial"/>
          <w:sz w:val="27"/>
          <w:szCs w:val="27"/>
          <w:i w:val="1"/>
          <w:iCs w:val="1"/>
          <w:color w:val="auto"/>
          <w:vertAlign w:val="superscript"/>
        </w:rPr>
      </w:pPr>
      <w:r>
        <w:rPr>
          <w:rFonts w:ascii="Arial" w:cs="Arial" w:eastAsia="Arial" w:hAnsi="Arial"/>
          <w:sz w:val="18"/>
          <w:szCs w:val="18"/>
          <w:color w:val="auto"/>
        </w:rPr>
        <w:t xml:space="preserve">The deposit of $1.2 million is related to a long-term gas gathering deposit with Enterprise entered into at closing of the Jonah Field Acquisition. See Note 3,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for additional information.</w:t>
      </w:r>
    </w:p>
    <w:p>
      <w:pPr>
        <w:ind w:left="380" w:right="339" w:hanging="330"/>
        <w:spacing w:after="0" w:line="225" w:lineRule="auto"/>
        <w:tabs>
          <w:tab w:leader="none" w:pos="380" w:val="left"/>
        </w:tabs>
        <w:numPr>
          <w:ilvl w:val="0"/>
          <w:numId w:val="32"/>
        </w:numPr>
        <w:rPr>
          <w:rFonts w:ascii="Arial" w:cs="Arial" w:eastAsia="Arial" w:hAnsi="Arial"/>
          <w:sz w:val="24"/>
          <w:szCs w:val="24"/>
          <w:i w:val="1"/>
          <w:iCs w:val="1"/>
          <w:color w:val="auto"/>
          <w:vertAlign w:val="superscript"/>
        </w:rPr>
      </w:pPr>
      <w:r>
        <w:rPr>
          <w:rFonts w:ascii="Arial" w:cs="Arial" w:eastAsia="Arial" w:hAnsi="Arial"/>
          <w:sz w:val="16"/>
          <w:szCs w:val="16"/>
          <w:color w:val="auto"/>
        </w:rPr>
        <w:t xml:space="preserve">Accrued royalties payable relate to royalty and owner payments in the Jonah Field as the Company takes its natural gas and NGL working interest production in-kind. See Note 2,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for a further discussion.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15. Subsequent Events</w:t>
      </w:r>
    </w:p>
    <w:p>
      <w:pPr>
        <w:spacing w:after="0" w:line="121" w:lineRule="exact"/>
        <w:rPr>
          <w:sz w:val="20"/>
          <w:szCs w:val="20"/>
          <w:color w:val="auto"/>
        </w:rPr>
      </w:pPr>
    </w:p>
    <w:p>
      <w:pPr>
        <w:ind w:left="60" w:right="879"/>
        <w:spacing w:after="0" w:line="308" w:lineRule="auto"/>
        <w:rPr>
          <w:sz w:val="20"/>
          <w:szCs w:val="20"/>
          <w:color w:val="auto"/>
        </w:rPr>
      </w:pPr>
      <w:r>
        <w:rPr>
          <w:rFonts w:ascii="Arial" w:cs="Arial" w:eastAsia="Arial" w:hAnsi="Arial"/>
          <w:sz w:val="17"/>
          <w:szCs w:val="17"/>
          <w:color w:val="auto"/>
        </w:rPr>
        <w:t>On September 11, 2023, the Company declared a quarterly cash dividend of $0.12 per share of common stock to shareholders of record on September 22, 2023 and payable on September 29, 2023.</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8" w:name="page79"/>
    <w:bookmarkEnd w:id="7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Supplemental Disclosure about Oil and Natural Gas Properties (unaudited)</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Capitalized costs relating to oil and natural gas producing activities</w:t>
      </w:r>
    </w:p>
    <w:p>
      <w:pPr>
        <w:spacing w:after="0" w:line="225"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The following table summarizes the amounts of capitalized costs relating to oil and natural gas producing activities and the amount of related accumulated depletion (in thousands).</w:t>
      </w:r>
    </w:p>
    <w:p>
      <w:pPr>
        <w:spacing w:after="0" w:line="184" w:lineRule="exact"/>
        <w:rPr>
          <w:sz w:val="20"/>
          <w:szCs w:val="20"/>
          <w:color w:val="auto"/>
        </w:rPr>
      </w:pPr>
    </w:p>
    <w:tbl>
      <w:tblPr>
        <w:tblLayout w:type="fixed"/>
        <w:tblInd w:w="740" w:type="dxa"/>
        <w:tblCellMar>
          <w:top w:w="0" w:type="dxa"/>
          <w:left w:w="0" w:type="dxa"/>
          <w:bottom w:w="0" w:type="dxa"/>
          <w:right w:w="0" w:type="dxa"/>
        </w:tblCellMar>
      </w:tblPr>
      <w:tr>
        <w:trPr>
          <w:trHeight w:val="210"/>
        </w:trPr>
        <w:tc>
          <w:tcPr>
            <w:tcW w:w="416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 2023</w:t>
            </w:r>
          </w:p>
        </w:tc>
        <w:tc>
          <w:tcPr>
            <w:tcW w:w="110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 2022</w:t>
            </w:r>
          </w:p>
        </w:tc>
        <w:tc>
          <w:tcPr>
            <w:tcW w:w="16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6"/>
                <w:szCs w:val="16"/>
                <w:b w:val="1"/>
                <w:bCs w:val="1"/>
                <w:color w:val="auto"/>
                <w:w w:val="90"/>
              </w:rPr>
              <w:t>June 30, 2021</w:t>
            </w:r>
          </w:p>
        </w:tc>
      </w:tr>
      <w:tr>
        <w:trPr>
          <w:trHeight w:val="196"/>
        </w:trPr>
        <w:tc>
          <w:tcPr>
            <w:tcW w:w="4160" w:type="dxa"/>
            <w:vAlign w:val="bottom"/>
          </w:tcPr>
          <w:p>
            <w:pPr>
              <w:spacing w:after="0"/>
              <w:rPr>
                <w:sz w:val="20"/>
                <w:szCs w:val="20"/>
                <w:color w:val="auto"/>
              </w:rPr>
            </w:pPr>
            <w:r>
              <w:rPr>
                <w:rFonts w:ascii="Arial" w:cs="Arial" w:eastAsia="Arial" w:hAnsi="Arial"/>
                <w:sz w:val="16"/>
                <w:szCs w:val="16"/>
                <w:b w:val="1"/>
                <w:bCs w:val="1"/>
                <w:color w:val="auto"/>
              </w:rPr>
              <w:t>Oil and natural gas properties</w:t>
            </w: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r>
      <w:tr>
        <w:trPr>
          <w:trHeight w:val="208"/>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Property costs subject to amortization</w:t>
            </w:r>
          </w:p>
        </w:tc>
        <w:tc>
          <w:tcPr>
            <w:tcW w:w="420" w:type="dxa"/>
            <w:vAlign w:val="bottom"/>
            <w:gridSpan w:val="2"/>
            <w:shd w:val="clear" w:color="auto" w:fill="CCEEFF"/>
          </w:tcPr>
          <w:p>
            <w:pPr>
              <w:jc w:val="right"/>
              <w:ind w:right="8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197,049</w:t>
            </w:r>
          </w:p>
        </w:tc>
        <w:tc>
          <w:tcPr>
            <w:tcW w:w="380" w:type="dxa"/>
            <w:vAlign w:val="bottom"/>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188,634</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129,123</w:t>
            </w:r>
          </w:p>
        </w:tc>
      </w:tr>
      <w:tr>
        <w:trPr>
          <w:trHeight w:val="203"/>
        </w:trPr>
        <w:tc>
          <w:tcPr>
            <w:tcW w:w="41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w w:val="96"/>
              </w:rPr>
              <w:t>Less: Accumulated depletion, depreciation, and amortization</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(91,268)</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(78,126)</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(70,607)</w:t>
            </w:r>
          </w:p>
        </w:tc>
      </w:tr>
      <w:tr>
        <w:trPr>
          <w:trHeight w:val="196"/>
        </w:trPr>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Oil and natural gas properties, net</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105,781</w:t>
            </w: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110,508</w:t>
            </w: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58,516</w:t>
            </w:r>
          </w:p>
        </w:tc>
      </w:tr>
      <w:tr>
        <w:trPr>
          <w:trHeight w:val="20"/>
        </w:trPr>
        <w:tc>
          <w:tcPr>
            <w:tcW w:w="4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Costs incurred for oil and natural gas property acquisition, exploration, and development activities</w:t>
      </w:r>
    </w:p>
    <w:p>
      <w:pPr>
        <w:spacing w:after="0" w:line="225" w:lineRule="exact"/>
        <w:rPr>
          <w:sz w:val="20"/>
          <w:szCs w:val="20"/>
          <w:color w:val="auto"/>
        </w:rPr>
      </w:pPr>
    </w:p>
    <w:p>
      <w:pPr>
        <w:ind w:left="60" w:right="59"/>
        <w:spacing w:after="0" w:line="290" w:lineRule="auto"/>
        <w:rPr>
          <w:sz w:val="20"/>
          <w:szCs w:val="20"/>
          <w:color w:val="auto"/>
        </w:rPr>
      </w:pPr>
      <w:r>
        <w:rPr>
          <w:rFonts w:ascii="Arial" w:cs="Arial" w:eastAsia="Arial" w:hAnsi="Arial"/>
          <w:sz w:val="16"/>
          <w:szCs w:val="16"/>
          <w:color w:val="auto"/>
        </w:rPr>
        <w:t>The following table summarizes costs incurred and capitalized in oil and natural gas property acquisition, exploration, and development activities (in thousands). Property acquisition costs are those costs incurred to lease property, including both undeveloped leasehold, and the purchase of reserves in place. Exploration costs include costs of identifying areas that may warrant examination, examining specific areas that are considered to have prospects containing oil and natural gas reserves, costs of drilling exploratory wells, geologic and geophysical assessment costs, and carrying costs on undeveloped properties. Development costs are incurred to obtain access to proved reserves, including the cost of drilling. Development costs also include amounts incurred due to the recognition of asset retirement obligations of $2.0 million, $7.8 million, and $2.9 million during the years ended June 30, 2023, 2022, and 2021, respectively.</w:t>
      </w:r>
    </w:p>
    <w:p>
      <w:pPr>
        <w:spacing w:after="0" w:line="179" w:lineRule="exact"/>
        <w:rPr>
          <w:sz w:val="20"/>
          <w:szCs w:val="20"/>
          <w:color w:val="auto"/>
        </w:rPr>
      </w:pPr>
    </w:p>
    <w:tbl>
      <w:tblPr>
        <w:tblLayout w:type="fixed"/>
        <w:tblInd w:w="300" w:type="dxa"/>
        <w:tblCellMar>
          <w:top w:w="0" w:type="dxa"/>
          <w:left w:w="0" w:type="dxa"/>
          <w:bottom w:w="0" w:type="dxa"/>
          <w:right w:w="0" w:type="dxa"/>
        </w:tblCellMar>
      </w:tblPr>
      <w:tr>
        <w:trPr>
          <w:trHeight w:val="213"/>
        </w:trPr>
        <w:tc>
          <w:tcPr>
            <w:tcW w:w="55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7"/>
          </w:tcPr>
          <w:p>
            <w:pPr>
              <w:jc w:val="right"/>
              <w:ind w:right="359"/>
              <w:spacing w:after="0"/>
              <w:rPr>
                <w:sz w:val="20"/>
                <w:szCs w:val="20"/>
                <w:color w:val="auto"/>
              </w:rPr>
            </w:pPr>
            <w:r>
              <w:rPr>
                <w:rFonts w:ascii="Arial" w:cs="Arial" w:eastAsia="Arial" w:hAnsi="Arial"/>
                <w:sz w:val="16"/>
                <w:szCs w:val="16"/>
                <w:b w:val="1"/>
                <w:bCs w:val="1"/>
                <w:color w:val="auto"/>
                <w:w w:val="99"/>
              </w:rPr>
              <w:t>For the Years Ended June 30,</w:t>
            </w:r>
          </w:p>
        </w:tc>
      </w:tr>
      <w:tr>
        <w:trPr>
          <w:trHeight w:val="199"/>
        </w:trPr>
        <w:tc>
          <w:tcPr>
            <w:tcW w:w="55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2023</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2021</w:t>
            </w:r>
          </w:p>
        </w:tc>
      </w:tr>
      <w:tr>
        <w:trPr>
          <w:trHeight w:val="196"/>
        </w:trPr>
        <w:tc>
          <w:tcPr>
            <w:tcW w:w="5500" w:type="dxa"/>
            <w:vAlign w:val="bottom"/>
            <w:shd w:val="clear" w:color="auto" w:fill="CCEEFF"/>
          </w:tcPr>
          <w:p>
            <w:pPr>
              <w:spacing w:after="0"/>
              <w:rPr>
                <w:sz w:val="20"/>
                <w:szCs w:val="20"/>
                <w:color w:val="auto"/>
              </w:rPr>
            </w:pPr>
            <w:r>
              <w:rPr>
                <w:rFonts w:ascii="Arial" w:cs="Arial" w:eastAsia="Arial" w:hAnsi="Arial"/>
                <w:sz w:val="16"/>
                <w:szCs w:val="16"/>
                <w:color w:val="auto"/>
              </w:rPr>
              <w:t>Oil and Natural Gas Activities</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5500" w:type="dxa"/>
            <w:vAlign w:val="bottom"/>
          </w:tcPr>
          <w:p>
            <w:pPr>
              <w:ind w:left="120"/>
              <w:spacing w:after="0"/>
              <w:rPr>
                <w:sz w:val="20"/>
                <w:szCs w:val="20"/>
                <w:color w:val="auto"/>
              </w:rPr>
            </w:pPr>
            <w:r>
              <w:rPr>
                <w:rFonts w:ascii="Arial" w:cs="Arial" w:eastAsia="Arial" w:hAnsi="Arial"/>
                <w:sz w:val="16"/>
                <w:szCs w:val="16"/>
                <w:color w:val="auto"/>
              </w:rPr>
              <w:t>Property acquisition costs:</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55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Proved property</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32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49,920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18,297</w:t>
            </w:r>
          </w:p>
        </w:tc>
      </w:tr>
      <w:tr>
        <w:trPr>
          <w:trHeight w:val="203"/>
        </w:trPr>
        <w:tc>
          <w:tcPr>
            <w:tcW w:w="5500" w:type="dxa"/>
            <w:vAlign w:val="bottom"/>
          </w:tcPr>
          <w:p>
            <w:pPr>
              <w:ind w:left="320"/>
              <w:spacing w:after="0"/>
              <w:rPr>
                <w:sz w:val="20"/>
                <w:szCs w:val="20"/>
                <w:color w:val="auto"/>
              </w:rPr>
            </w:pPr>
            <w:r>
              <w:rPr>
                <w:rFonts w:ascii="Arial" w:cs="Arial" w:eastAsia="Arial" w:hAnsi="Arial"/>
                <w:sz w:val="16"/>
                <w:szCs w:val="16"/>
                <w:color w:val="auto"/>
              </w:rPr>
              <w:t>Unproved property</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5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Exploration costs</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55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Development costs</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8,384</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9,591</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3,436</w:t>
            </w:r>
          </w:p>
        </w:tc>
      </w:tr>
      <w:tr>
        <w:trPr>
          <w:trHeight w:val="196"/>
        </w:trPr>
        <w:tc>
          <w:tcPr>
            <w:tcW w:w="55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costs incurred for oil and natural gas activities</w:t>
            </w: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8,415</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59,511</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21,733</w:t>
            </w:r>
          </w:p>
        </w:tc>
      </w:tr>
      <w:tr>
        <w:trPr>
          <w:trHeight w:val="20"/>
        </w:trPr>
        <w:tc>
          <w:tcPr>
            <w:tcW w:w="5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Estimated Net Quantities of Proved Oil and Natural Gas Reserves</w:t>
      </w:r>
    </w:p>
    <w:p>
      <w:pPr>
        <w:spacing w:after="0" w:line="225" w:lineRule="exact"/>
        <w:rPr>
          <w:sz w:val="20"/>
          <w:szCs w:val="20"/>
          <w:color w:val="auto"/>
        </w:rPr>
      </w:pPr>
    </w:p>
    <w:p>
      <w:pPr>
        <w:ind w:left="60" w:right="199"/>
        <w:spacing w:after="0" w:line="291" w:lineRule="auto"/>
        <w:rPr>
          <w:sz w:val="20"/>
          <w:szCs w:val="20"/>
          <w:color w:val="auto"/>
        </w:rPr>
      </w:pPr>
      <w:r>
        <w:rPr>
          <w:rFonts w:ascii="Arial" w:cs="Arial" w:eastAsia="Arial" w:hAnsi="Arial"/>
          <w:sz w:val="16"/>
          <w:szCs w:val="16"/>
          <w:color w:val="auto"/>
        </w:rPr>
        <w:t>The following estimates of net proved oil and natural gas reserves of the Company’s oil and natural gas properties located entirely within the United States are based on evaluations prepared by third-party reservoir engineers, Netherland, Sewell</w:t>
      </w:r>
    </w:p>
    <w:p>
      <w:pPr>
        <w:ind w:left="60" w:right="179" w:hanging="10"/>
        <w:spacing w:after="0" w:line="253" w:lineRule="auto"/>
        <w:tabs>
          <w:tab w:leader="none" w:pos="24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Associates, Inc. (“NSAI”) and DeGolyer &amp; MacNaughton (“D&amp;M”). Reserve volumes and values were determined under the method prescribed by the SEC for the fiscal years ended June 30, 2023, 2022 and 2021. SEC methodology requires the application of the previous 12-month unweighted arithmetic average first-day-of-the-month price, and current costs held constant throughout the projected reserve life, when estimating whether reserve quantities are economical to produce.</w:t>
      </w:r>
    </w:p>
    <w:p>
      <w:pPr>
        <w:spacing w:after="0" w:line="191" w:lineRule="exact"/>
        <w:rPr>
          <w:sz w:val="20"/>
          <w:szCs w:val="20"/>
          <w:color w:val="auto"/>
        </w:rPr>
      </w:pPr>
    </w:p>
    <w:p>
      <w:pPr>
        <w:ind w:left="60" w:right="59"/>
        <w:spacing w:after="0" w:line="289" w:lineRule="auto"/>
        <w:rPr>
          <w:sz w:val="20"/>
          <w:szCs w:val="20"/>
          <w:color w:val="auto"/>
        </w:rPr>
      </w:pPr>
      <w:r>
        <w:rPr>
          <w:rFonts w:ascii="Arial" w:cs="Arial" w:eastAsia="Arial" w:hAnsi="Arial"/>
          <w:sz w:val="16"/>
          <w:szCs w:val="16"/>
          <w:color w:val="auto"/>
        </w:rPr>
        <w:t>Our policies regarding internal controls over reserves estimates require such estimates to be prepared by an independent petroleum engineering firm under the supervision of our internal reserve engineering team, which includes our Chief Operating Officer (COO). Our internal reserve engineering team and third-party consultants have a combined experience of over 80 years in Petroleum Engineering. Our COO, the person responsible for overseeing the preparation of our reserves estimates has a Bachelor of Science Degree in Petroleum Engineering from Texas A&amp;M University, is a registered Professional Engineer in the State of Texas (No. 86704), has over 40 years of oil and natural gas experience including large independents and financial firm services for projects and acquisitions. Our Board of Directors also has oversight of our reserve estimation process and contains a Reserves Committee with an independent director who is a Register Professional Engineer in the State of Texas (No. 47279) with experience in energy company reserve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9" w:name="page80"/>
    <w:bookmarkEnd w:id="7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277" w:lineRule="auto"/>
        <w:rPr>
          <w:sz w:val="20"/>
          <w:szCs w:val="20"/>
          <w:color w:val="auto"/>
        </w:rPr>
      </w:pPr>
      <w:r>
        <w:rPr>
          <w:rFonts w:ascii="Arial" w:cs="Arial" w:eastAsia="Arial" w:hAnsi="Arial"/>
          <w:sz w:val="18"/>
          <w:szCs w:val="18"/>
          <w:color w:val="auto"/>
        </w:rPr>
        <w:t>evaluations. Such reserve estimates comply with generally accepted petroleum engineering and evaluation principles, definitions, and guidelines as established by the SEC.</w:t>
      </w:r>
    </w:p>
    <w:p>
      <w:pPr>
        <w:spacing w:after="0" w:line="170" w:lineRule="exact"/>
        <w:rPr>
          <w:sz w:val="20"/>
          <w:szCs w:val="20"/>
          <w:color w:val="auto"/>
        </w:rPr>
      </w:pPr>
    </w:p>
    <w:p>
      <w:pPr>
        <w:ind w:left="60" w:right="119"/>
        <w:spacing w:after="0" w:line="271" w:lineRule="auto"/>
        <w:rPr>
          <w:sz w:val="20"/>
          <w:szCs w:val="20"/>
          <w:color w:val="auto"/>
        </w:rPr>
      </w:pPr>
      <w:r>
        <w:rPr>
          <w:rFonts w:ascii="Arial" w:cs="Arial" w:eastAsia="Arial" w:hAnsi="Arial"/>
          <w:sz w:val="17"/>
          <w:szCs w:val="17"/>
          <w:color w:val="auto"/>
        </w:rPr>
        <w:t>The person responsible for the preparation of the reserve report at NSAI is Matthew D. Pankey, P.E., Petroleum Engineer. Mr. Pankey, a licensed Professional Engineer in the State of Texas (No. 142931), has been practicing consulting petroleum engineering at NSAI since 2019 and has over six years of prior industry experience. The person responsible for the preparation of the reserve report at D&amp;M is Dr. Dilhan Ilk, P.E, Executive Vice President. Dr. Ilk received a Bachelor of Science degree in Petroleum Engineering in 2003 from Istanbul Technical University and a Master’s degree and Doctorate in Petroleum Engineering in 2005 and 2010, respectively, from Texas A&amp;M University, and he has in excess of 13 years of experience in oil and natural gas reservoir studies and evaluations and is a licensed Professional Engineer in the state of Texas (No. 139334).</w:t>
      </w:r>
    </w:p>
    <w:p>
      <w:pPr>
        <w:spacing w:after="0" w:line="178" w:lineRule="exact"/>
        <w:rPr>
          <w:sz w:val="20"/>
          <w:szCs w:val="20"/>
          <w:color w:val="auto"/>
        </w:rPr>
      </w:pPr>
    </w:p>
    <w:p>
      <w:pPr>
        <w:ind w:left="60" w:right="199"/>
        <w:spacing w:after="0" w:line="254" w:lineRule="auto"/>
        <w:rPr>
          <w:sz w:val="20"/>
          <w:szCs w:val="20"/>
          <w:color w:val="auto"/>
        </w:rPr>
      </w:pPr>
      <w:r>
        <w:rPr>
          <w:rFonts w:ascii="Arial" w:cs="Arial" w:eastAsia="Arial" w:hAnsi="Arial"/>
          <w:sz w:val="18"/>
          <w:szCs w:val="18"/>
          <w:color w:val="auto"/>
        </w:rPr>
        <w:t>Proved oil and natural gas reserves are estimated quantities of oil, natural gas, and NGLs that geologic and engineering data demonstrate with reasonable certainty to be recoverable in future years from known reservoirs under existing economic and operating conditions. Proved developed oil and natural gas reserves are reserves that can be expected to be recovered through existing wells with existing equipment and operating methods. There are uncertainties inherent in estimating quantities of proved oil and natural gas reserves, projecting future production rates, and timing of development expenditures. Accordingly, reserve estimates often differ from the quantities of oil and natural gas that are ultimately recovered.</w:t>
      </w:r>
    </w:p>
    <w:p>
      <w:pPr>
        <w:spacing w:after="0" w:line="195" w:lineRule="exact"/>
        <w:rPr>
          <w:sz w:val="20"/>
          <w:szCs w:val="20"/>
          <w:color w:val="auto"/>
        </w:rPr>
      </w:pPr>
    </w:p>
    <w:p>
      <w:pPr>
        <w:ind w:left="60" w:right="579"/>
        <w:spacing w:after="0" w:line="258" w:lineRule="auto"/>
        <w:rPr>
          <w:sz w:val="20"/>
          <w:szCs w:val="20"/>
          <w:color w:val="auto"/>
        </w:rPr>
      </w:pPr>
      <w:r>
        <w:rPr>
          <w:rFonts w:ascii="Arial" w:cs="Arial" w:eastAsia="Arial" w:hAnsi="Arial"/>
          <w:sz w:val="18"/>
          <w:szCs w:val="18"/>
          <w:color w:val="auto"/>
        </w:rPr>
        <w:t>Estimated quantities of proved oil, natural gas, and NGL reserves and changes in quantities of proved developed and undeveloped reserves for each of the periods indicated are as follows:</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02"/>
        </w:trPr>
        <w:tc>
          <w:tcPr>
            <w:tcW w:w="4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Natural Gas</w:t>
            </w:r>
          </w:p>
        </w:tc>
        <w:tc>
          <w:tcPr>
            <w:tcW w:w="900" w:type="dxa"/>
            <w:vAlign w:val="bottom"/>
          </w:tcPr>
          <w:p>
            <w:pPr>
              <w:spacing w:after="0"/>
              <w:rPr>
                <w:sz w:val="17"/>
                <w:szCs w:val="17"/>
                <w:color w:val="auto"/>
              </w:rPr>
            </w:pPr>
          </w:p>
        </w:tc>
      </w:tr>
      <w:tr>
        <w:trPr>
          <w:trHeight w:val="203"/>
        </w:trPr>
        <w:tc>
          <w:tcPr>
            <w:tcW w:w="480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Crude Oil</w:t>
            </w:r>
          </w:p>
        </w:tc>
        <w:tc>
          <w:tcPr>
            <w:tcW w:w="10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Natural Gas</w:t>
            </w:r>
          </w:p>
        </w:tc>
        <w:tc>
          <w:tcPr>
            <w:tcW w:w="10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Liquids</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w w:val="98"/>
              </w:rPr>
              <w:t>Equivalent</w:t>
            </w:r>
          </w:p>
        </w:tc>
      </w:tr>
      <w:tr>
        <w:trPr>
          <w:trHeight w:val="210"/>
        </w:trPr>
        <w:tc>
          <w:tcPr>
            <w:tcW w:w="48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(MBbls)</w:t>
            </w:r>
          </w:p>
        </w:tc>
        <w:tc>
          <w:tcPr>
            <w:tcW w:w="10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(MMcf)</w:t>
            </w:r>
          </w:p>
        </w:tc>
        <w:tc>
          <w:tcPr>
            <w:tcW w:w="10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5"/>
              </w:rPr>
              <w:t>(MBbls)</w:t>
            </w: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(MBOE)</w:t>
            </w:r>
          </w:p>
        </w:tc>
      </w:tr>
      <w:tr>
        <w:trPr>
          <w:trHeight w:val="196"/>
        </w:trPr>
        <w:tc>
          <w:tcPr>
            <w:tcW w:w="4800" w:type="dxa"/>
            <w:vAlign w:val="bottom"/>
          </w:tcPr>
          <w:p>
            <w:pPr>
              <w:spacing w:after="0"/>
              <w:rPr>
                <w:sz w:val="20"/>
                <w:szCs w:val="20"/>
                <w:color w:val="auto"/>
              </w:rPr>
            </w:pPr>
            <w:r>
              <w:rPr>
                <w:rFonts w:ascii="Arial" w:cs="Arial" w:eastAsia="Arial" w:hAnsi="Arial"/>
                <w:sz w:val="16"/>
                <w:szCs w:val="16"/>
                <w:b w:val="1"/>
                <w:bCs w:val="1"/>
                <w:color w:val="auto"/>
              </w:rPr>
              <w:t>Proved developed and undeveloped reserves:</w:t>
            </w: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209"/>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June 30, 2020</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8,226</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1,993</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10,219</w:t>
            </w:r>
          </w:p>
        </w:tc>
      </w:tr>
      <w:tr>
        <w:trPr>
          <w:trHeight w:val="203"/>
        </w:trPr>
        <w:tc>
          <w:tcPr>
            <w:tcW w:w="4800" w:type="dxa"/>
            <w:vAlign w:val="bottom"/>
          </w:tcPr>
          <w:p>
            <w:pPr>
              <w:ind w:left="100"/>
              <w:spacing w:after="0"/>
              <w:rPr>
                <w:sz w:val="20"/>
                <w:szCs w:val="20"/>
                <w:color w:val="auto"/>
              </w:rPr>
            </w:pPr>
            <w:r>
              <w:rPr>
                <w:rFonts w:ascii="Arial" w:cs="Arial" w:eastAsia="Arial" w:hAnsi="Arial"/>
                <w:sz w:val="16"/>
                <w:szCs w:val="16"/>
                <w:color w:val="auto"/>
              </w:rPr>
              <w:t>Revisions of previous estimates</w:t>
            </w:r>
          </w:p>
        </w:tc>
        <w:tc>
          <w:tcPr>
            <w:tcW w:w="880" w:type="dxa"/>
            <w:vAlign w:val="bottom"/>
          </w:tcPr>
          <w:p>
            <w:pPr>
              <w:jc w:val="right"/>
              <w:spacing w:after="0"/>
              <w:rPr>
                <w:sz w:val="20"/>
                <w:szCs w:val="20"/>
                <w:color w:val="auto"/>
              </w:rPr>
            </w:pPr>
            <w:r>
              <w:rPr>
                <w:rFonts w:ascii="Arial" w:cs="Arial" w:eastAsia="Arial" w:hAnsi="Arial"/>
                <w:sz w:val="16"/>
                <w:szCs w:val="16"/>
                <w:color w:val="auto"/>
              </w:rPr>
              <w:t>662</w:t>
            </w:r>
          </w:p>
        </w:tc>
        <w:tc>
          <w:tcPr>
            <w:tcW w:w="20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92</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754</w:t>
            </w:r>
          </w:p>
        </w:tc>
      </w:tr>
      <w:tr>
        <w:trPr>
          <w:trHeight w:val="203"/>
        </w:trPr>
        <w:tc>
          <w:tcPr>
            <w:tcW w:w="48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Purchase of reserves in place</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49,534</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4,957</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13,300</w:t>
            </w:r>
          </w:p>
        </w:tc>
      </w:tr>
      <w:tr>
        <w:trPr>
          <w:trHeight w:val="203"/>
        </w:trPr>
        <w:tc>
          <w:tcPr>
            <w:tcW w:w="48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Production (sales volumes)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w:t>
            </w:r>
          </w:p>
        </w:tc>
        <w:tc>
          <w:tcPr>
            <w:tcW w:w="2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w:t>
            </w:r>
          </w:p>
        </w:tc>
        <w:tc>
          <w:tcPr>
            <w:tcW w:w="18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1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(887)</w:t>
            </w:r>
          </w:p>
        </w:tc>
      </w:tr>
      <w:tr>
        <w:trPr>
          <w:trHeight w:val="196"/>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June 30, 2021</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8,420</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48,571</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6,871</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23,386</w:t>
            </w:r>
          </w:p>
        </w:tc>
      </w:tr>
      <w:tr>
        <w:trPr>
          <w:trHeight w:val="203"/>
        </w:trPr>
        <w:tc>
          <w:tcPr>
            <w:tcW w:w="4800" w:type="dxa"/>
            <w:vAlign w:val="bottom"/>
          </w:tcPr>
          <w:p>
            <w:pPr>
              <w:ind w:left="100"/>
              <w:spacing w:after="0"/>
              <w:rPr>
                <w:sz w:val="20"/>
                <w:szCs w:val="20"/>
                <w:color w:val="auto"/>
              </w:rPr>
            </w:pPr>
            <w:r>
              <w:rPr>
                <w:rFonts w:ascii="Arial" w:cs="Arial" w:eastAsia="Arial" w:hAnsi="Arial"/>
                <w:sz w:val="16"/>
                <w:szCs w:val="16"/>
                <w:color w:val="auto"/>
              </w:rPr>
              <w:t>Revisions of previous estimates</w:t>
            </w:r>
          </w:p>
        </w:tc>
        <w:tc>
          <w:tcPr>
            <w:tcW w:w="880" w:type="dxa"/>
            <w:vAlign w:val="bottom"/>
          </w:tcPr>
          <w:p>
            <w:pPr>
              <w:jc w:val="right"/>
              <w:spacing w:after="0"/>
              <w:rPr>
                <w:sz w:val="20"/>
                <w:szCs w:val="20"/>
                <w:color w:val="auto"/>
              </w:rPr>
            </w:pPr>
            <w:r>
              <w:rPr>
                <w:rFonts w:ascii="Arial" w:cs="Arial" w:eastAsia="Arial" w:hAnsi="Arial"/>
                <w:sz w:val="16"/>
                <w:szCs w:val="16"/>
                <w:color w:val="auto"/>
              </w:rPr>
              <w:t>(1,111)</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25,268</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(944)</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2,157</w:t>
            </w:r>
          </w:p>
        </w:tc>
      </w:tr>
      <w:tr>
        <w:trPr>
          <w:trHeight w:val="203"/>
        </w:trPr>
        <w:tc>
          <w:tcPr>
            <w:tcW w:w="48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Improved recovery, extensions and discoveries</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2,608</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2,197</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3,597</w:t>
            </w:r>
          </w:p>
        </w:tc>
      </w:tr>
      <w:tr>
        <w:trPr>
          <w:trHeight w:val="203"/>
        </w:trPr>
        <w:tc>
          <w:tcPr>
            <w:tcW w:w="4800" w:type="dxa"/>
            <w:vAlign w:val="bottom"/>
          </w:tcPr>
          <w:p>
            <w:pPr>
              <w:ind w:left="100"/>
              <w:spacing w:after="0"/>
              <w:rPr>
                <w:sz w:val="20"/>
                <w:szCs w:val="20"/>
                <w:color w:val="auto"/>
              </w:rPr>
            </w:pPr>
            <w:r>
              <w:rPr>
                <w:rFonts w:ascii="Arial" w:cs="Arial" w:eastAsia="Arial" w:hAnsi="Arial"/>
                <w:sz w:val="16"/>
                <w:szCs w:val="16"/>
                <w:color w:val="auto"/>
              </w:rPr>
              <w:t>Purchase of reserves in place</w:t>
            </w:r>
          </w:p>
        </w:tc>
        <w:tc>
          <w:tcPr>
            <w:tcW w:w="880" w:type="dxa"/>
            <w:vAlign w:val="bottom"/>
          </w:tcPr>
          <w:p>
            <w:pPr>
              <w:jc w:val="right"/>
              <w:spacing w:after="0"/>
              <w:rPr>
                <w:sz w:val="20"/>
                <w:szCs w:val="20"/>
                <w:color w:val="auto"/>
              </w:rPr>
            </w:pPr>
            <w:r>
              <w:rPr>
                <w:rFonts w:ascii="Arial" w:cs="Arial" w:eastAsia="Arial" w:hAnsi="Arial"/>
                <w:sz w:val="16"/>
                <w:szCs w:val="16"/>
                <w:color w:val="auto"/>
              </w:rPr>
              <w:t>2,172</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38,096</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755</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9,276</w:t>
            </w:r>
          </w:p>
        </w:tc>
      </w:tr>
      <w:tr>
        <w:trPr>
          <w:trHeight w:val="203"/>
        </w:trPr>
        <w:tc>
          <w:tcPr>
            <w:tcW w:w="48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Production (sales volumes)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(619)</w:t>
            </w:r>
          </w:p>
        </w:tc>
        <w:tc>
          <w:tcPr>
            <w:tcW w:w="20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(7,141)</w:t>
            </w:r>
          </w:p>
        </w:tc>
        <w:tc>
          <w:tcPr>
            <w:tcW w:w="18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18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(2,173)</w:t>
            </w:r>
          </w:p>
        </w:tc>
      </w:tr>
      <w:tr>
        <w:trPr>
          <w:trHeight w:val="196"/>
        </w:trPr>
        <w:tc>
          <w:tcPr>
            <w:tcW w:w="4800" w:type="dxa"/>
            <w:vAlign w:val="bottom"/>
          </w:tcPr>
          <w:p>
            <w:pPr>
              <w:spacing w:after="0"/>
              <w:rPr>
                <w:sz w:val="20"/>
                <w:szCs w:val="20"/>
                <w:color w:val="auto"/>
              </w:rPr>
            </w:pPr>
            <w:r>
              <w:rPr>
                <w:rFonts w:ascii="Arial" w:cs="Arial" w:eastAsia="Arial" w:hAnsi="Arial"/>
                <w:sz w:val="16"/>
                <w:szCs w:val="16"/>
                <w:color w:val="auto"/>
              </w:rPr>
              <w:t>June 30, 2022</w:t>
            </w:r>
          </w:p>
        </w:tc>
        <w:tc>
          <w:tcPr>
            <w:tcW w:w="880" w:type="dxa"/>
            <w:vAlign w:val="bottom"/>
          </w:tcPr>
          <w:p>
            <w:pPr>
              <w:jc w:val="right"/>
              <w:spacing w:after="0"/>
              <w:rPr>
                <w:sz w:val="20"/>
                <w:szCs w:val="20"/>
                <w:color w:val="auto"/>
              </w:rPr>
            </w:pPr>
            <w:r>
              <w:rPr>
                <w:rFonts w:ascii="Arial" w:cs="Arial" w:eastAsia="Arial" w:hAnsi="Arial"/>
                <w:sz w:val="16"/>
                <w:szCs w:val="16"/>
                <w:color w:val="auto"/>
              </w:rPr>
              <w:t>11,470</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106,991</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6,941</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36,243</w:t>
            </w:r>
          </w:p>
        </w:tc>
      </w:tr>
      <w:tr>
        <w:trPr>
          <w:trHeight w:val="203"/>
        </w:trPr>
        <w:tc>
          <w:tcPr>
            <w:tcW w:w="48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Revisions of previous estimates</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(5,352)</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(2,598)</w:t>
            </w:r>
          </w:p>
        </w:tc>
      </w:tr>
      <w:tr>
        <w:trPr>
          <w:trHeight w:val="203"/>
        </w:trPr>
        <w:tc>
          <w:tcPr>
            <w:tcW w:w="4800" w:type="dxa"/>
            <w:vAlign w:val="bottom"/>
          </w:tcPr>
          <w:p>
            <w:pPr>
              <w:ind w:left="100"/>
              <w:spacing w:after="0"/>
              <w:rPr>
                <w:sz w:val="20"/>
                <w:szCs w:val="20"/>
                <w:color w:val="auto"/>
              </w:rPr>
            </w:pPr>
            <w:r>
              <w:rPr>
                <w:rFonts w:ascii="Arial" w:cs="Arial" w:eastAsia="Arial" w:hAnsi="Arial"/>
                <w:sz w:val="16"/>
                <w:szCs w:val="16"/>
                <w:color w:val="auto"/>
              </w:rPr>
              <w:t>Improved recovery, extensions and discoveries</w:t>
            </w:r>
          </w:p>
        </w:tc>
        <w:tc>
          <w:tcPr>
            <w:tcW w:w="880" w:type="dxa"/>
            <w:vAlign w:val="bottom"/>
          </w:tcPr>
          <w:p>
            <w:pPr>
              <w:jc w:val="right"/>
              <w:spacing w:after="0"/>
              <w:rPr>
                <w:sz w:val="20"/>
                <w:szCs w:val="20"/>
                <w:color w:val="auto"/>
              </w:rPr>
            </w:pPr>
            <w:r>
              <w:rPr>
                <w:rFonts w:ascii="Arial" w:cs="Arial" w:eastAsia="Arial" w:hAnsi="Arial"/>
                <w:sz w:val="16"/>
                <w:szCs w:val="16"/>
                <w:color w:val="auto"/>
              </w:rPr>
              <w:t>98</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203"/>
        </w:trPr>
        <w:tc>
          <w:tcPr>
            <w:tcW w:w="48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Production (sales volumes)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20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(9,109)</w:t>
            </w:r>
          </w:p>
        </w:tc>
        <w:tc>
          <w:tcPr>
            <w:tcW w:w="18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8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(2,593)</w:t>
            </w:r>
          </w:p>
        </w:tc>
      </w:tr>
      <w:tr>
        <w:trPr>
          <w:trHeight w:val="196"/>
        </w:trPr>
        <w:tc>
          <w:tcPr>
            <w:tcW w:w="4800" w:type="dxa"/>
            <w:vAlign w:val="bottom"/>
          </w:tcPr>
          <w:p>
            <w:pPr>
              <w:spacing w:after="0"/>
              <w:rPr>
                <w:sz w:val="20"/>
                <w:szCs w:val="20"/>
                <w:color w:val="auto"/>
              </w:rPr>
            </w:pPr>
            <w:r>
              <w:rPr>
                <w:rFonts w:ascii="Arial" w:cs="Arial" w:eastAsia="Arial" w:hAnsi="Arial"/>
                <w:sz w:val="16"/>
                <w:szCs w:val="16"/>
                <w:color w:val="auto"/>
              </w:rPr>
              <w:t>June 30, 2023</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9,871</w:t>
            </w:r>
          </w:p>
        </w:tc>
        <w:tc>
          <w:tcPr>
            <w:tcW w:w="20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92,563</w:t>
            </w:r>
          </w:p>
        </w:tc>
        <w:tc>
          <w:tcPr>
            <w:tcW w:w="18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5,877</w:t>
            </w:r>
          </w:p>
        </w:tc>
        <w:tc>
          <w:tcPr>
            <w:tcW w:w="18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31,176</w:t>
            </w:r>
          </w:p>
        </w:tc>
      </w:tr>
      <w:tr>
        <w:trPr>
          <w:trHeight w:val="20"/>
        </w:trPr>
        <w:tc>
          <w:tcPr>
            <w:tcW w:w="48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0" w:name="page81"/>
    <w:bookmarkEnd w:id="8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4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rPr>
              <w:t>MBOE</w:t>
            </w:r>
          </w:p>
        </w:tc>
        <w:tc>
          <w:tcPr>
            <w:tcW w:w="10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88"/>
        </w:trPr>
        <w:tc>
          <w:tcPr>
            <w:tcW w:w="5460" w:type="dxa"/>
            <w:vAlign w:val="bottom"/>
          </w:tcPr>
          <w:p>
            <w:pPr>
              <w:spacing w:after="0"/>
              <w:rPr>
                <w:sz w:val="16"/>
                <w:szCs w:val="16"/>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Proved</w:t>
            </w:r>
          </w:p>
        </w:tc>
        <w:tc>
          <w:tcPr>
            <w:tcW w:w="12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Proved</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4"/>
              </w:rPr>
              <w:t>Total</w:t>
            </w:r>
          </w:p>
        </w:tc>
        <w:tc>
          <w:tcPr>
            <w:tcW w:w="20" w:type="dxa"/>
            <w:vAlign w:val="bottom"/>
          </w:tcPr>
          <w:p>
            <w:pPr>
              <w:spacing w:after="0"/>
              <w:rPr>
                <w:sz w:val="16"/>
                <w:szCs w:val="16"/>
                <w:color w:val="auto"/>
              </w:rPr>
            </w:pPr>
          </w:p>
        </w:tc>
      </w:tr>
      <w:tr>
        <w:trPr>
          <w:trHeight w:val="203"/>
        </w:trPr>
        <w:tc>
          <w:tcPr>
            <w:tcW w:w="546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Developed</w:t>
            </w:r>
          </w:p>
        </w:tc>
        <w:tc>
          <w:tcPr>
            <w:tcW w:w="12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Undeveloped</w:t>
            </w:r>
          </w:p>
        </w:tc>
        <w:tc>
          <w:tcPr>
            <w:tcW w:w="104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2"/>
              </w:rPr>
              <w:t>Proved</w:t>
            </w:r>
          </w:p>
        </w:tc>
      </w:tr>
      <w:tr>
        <w:trPr>
          <w:trHeight w:val="210"/>
        </w:trPr>
        <w:tc>
          <w:tcPr>
            <w:tcW w:w="546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4"/>
              </w:rPr>
              <w:t>Reserves</w:t>
            </w:r>
          </w:p>
        </w:tc>
        <w:tc>
          <w:tcPr>
            <w:tcW w:w="12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7"/>
              </w:rPr>
              <w:t>Reserves</w:t>
            </w:r>
          </w:p>
        </w:tc>
        <w:tc>
          <w:tcPr>
            <w:tcW w:w="104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87"/>
              </w:rPr>
              <w:t>Reserves</w:t>
            </w:r>
          </w:p>
        </w:tc>
      </w:tr>
      <w:tr>
        <w:trPr>
          <w:trHeight w:val="199"/>
        </w:trPr>
        <w:tc>
          <w:tcPr>
            <w:tcW w:w="5460" w:type="dxa"/>
            <w:vAlign w:val="bottom"/>
          </w:tcPr>
          <w:p>
            <w:pPr>
              <w:ind w:left="20"/>
              <w:spacing w:after="0"/>
              <w:rPr>
                <w:sz w:val="20"/>
                <w:szCs w:val="20"/>
                <w:color w:val="auto"/>
              </w:rPr>
            </w:pPr>
            <w:r>
              <w:rPr>
                <w:rFonts w:ascii="Arial" w:cs="Arial" w:eastAsia="Arial" w:hAnsi="Arial"/>
                <w:sz w:val="16"/>
                <w:szCs w:val="16"/>
                <w:b w:val="1"/>
                <w:bCs w:val="1"/>
                <w:color w:val="auto"/>
              </w:rPr>
              <w:t>Proved developed and undeveloped reserves:</w:t>
            </w:r>
          </w:p>
        </w:tc>
        <w:tc>
          <w:tcPr>
            <w:tcW w:w="10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6"/>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June 30, 2020</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8,355</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1,864</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10,219</w:t>
            </w:r>
          </w:p>
        </w:tc>
        <w:tc>
          <w:tcPr>
            <w:tcW w:w="20" w:type="dxa"/>
            <w:vAlign w:val="bottom"/>
          </w:tcPr>
          <w:p>
            <w:pPr>
              <w:spacing w:after="0"/>
              <w:rPr>
                <w:sz w:val="17"/>
                <w:szCs w:val="17"/>
                <w:color w:val="auto"/>
              </w:rPr>
            </w:pPr>
          </w:p>
        </w:tc>
      </w:tr>
      <w:tr>
        <w:trPr>
          <w:trHeight w:val="203"/>
        </w:trPr>
        <w:tc>
          <w:tcPr>
            <w:tcW w:w="5460" w:type="dxa"/>
            <w:vAlign w:val="bottom"/>
          </w:tcPr>
          <w:p>
            <w:pPr>
              <w:ind w:left="120"/>
              <w:spacing w:after="0"/>
              <w:rPr>
                <w:sz w:val="20"/>
                <w:szCs w:val="20"/>
                <w:color w:val="auto"/>
              </w:rPr>
            </w:pPr>
            <w:r>
              <w:rPr>
                <w:rFonts w:ascii="Arial" w:cs="Arial" w:eastAsia="Arial" w:hAnsi="Arial"/>
                <w:sz w:val="16"/>
                <w:szCs w:val="16"/>
                <w:color w:val="auto"/>
              </w:rPr>
              <w:t>Revisions of previous estimates</w:t>
            </w:r>
          </w:p>
        </w:tc>
        <w:tc>
          <w:tcPr>
            <w:tcW w:w="1000" w:type="dxa"/>
            <w:vAlign w:val="bottom"/>
          </w:tcPr>
          <w:p>
            <w:pPr>
              <w:jc w:val="right"/>
              <w:spacing w:after="0"/>
              <w:rPr>
                <w:sz w:val="20"/>
                <w:szCs w:val="20"/>
                <w:color w:val="auto"/>
              </w:rPr>
            </w:pPr>
            <w:r>
              <w:rPr>
                <w:rFonts w:ascii="Arial" w:cs="Arial" w:eastAsia="Arial" w:hAnsi="Arial"/>
                <w:sz w:val="16"/>
                <w:szCs w:val="16"/>
                <w:color w:val="auto"/>
              </w:rPr>
              <w:t>805</w:t>
            </w:r>
          </w:p>
        </w:tc>
        <w:tc>
          <w:tcPr>
            <w:tcW w:w="20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(51)</w:t>
            </w:r>
          </w:p>
        </w:tc>
        <w:tc>
          <w:tcPr>
            <w:tcW w:w="1020" w:type="dxa"/>
            <w:vAlign w:val="bottom"/>
          </w:tcPr>
          <w:p>
            <w:pPr>
              <w:jc w:val="right"/>
              <w:spacing w:after="0"/>
              <w:rPr>
                <w:sz w:val="20"/>
                <w:szCs w:val="20"/>
                <w:color w:val="auto"/>
              </w:rPr>
            </w:pPr>
            <w:r>
              <w:rPr>
                <w:rFonts w:ascii="Arial" w:cs="Arial" w:eastAsia="Arial" w:hAnsi="Arial"/>
                <w:sz w:val="16"/>
                <w:szCs w:val="16"/>
                <w:color w:val="auto"/>
              </w:rPr>
              <w:t>754</w:t>
            </w:r>
          </w:p>
        </w:tc>
        <w:tc>
          <w:tcPr>
            <w:tcW w:w="20" w:type="dxa"/>
            <w:vAlign w:val="bottom"/>
          </w:tcPr>
          <w:p>
            <w:pPr>
              <w:spacing w:after="0"/>
              <w:rPr>
                <w:sz w:val="17"/>
                <w:szCs w:val="17"/>
                <w:color w:val="auto"/>
              </w:rPr>
            </w:pPr>
          </w:p>
        </w:tc>
      </w:tr>
      <w:tr>
        <w:trPr>
          <w:trHeight w:val="203"/>
        </w:trPr>
        <w:tc>
          <w:tcPr>
            <w:tcW w:w="5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 of reserves in place</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13,300</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13,300</w:t>
            </w:r>
          </w:p>
        </w:tc>
        <w:tc>
          <w:tcPr>
            <w:tcW w:w="20" w:type="dxa"/>
            <w:vAlign w:val="bottom"/>
          </w:tcPr>
          <w:p>
            <w:pPr>
              <w:spacing w:after="0"/>
              <w:rPr>
                <w:sz w:val="17"/>
                <w:szCs w:val="17"/>
                <w:color w:val="auto"/>
              </w:rPr>
            </w:pPr>
          </w:p>
        </w:tc>
      </w:tr>
      <w:tr>
        <w:trPr>
          <w:trHeight w:val="203"/>
        </w:trPr>
        <w:tc>
          <w:tcPr>
            <w:tcW w:w="5460" w:type="dxa"/>
            <w:vAlign w:val="bottom"/>
          </w:tcPr>
          <w:p>
            <w:pPr>
              <w:ind w:left="120"/>
              <w:spacing w:after="0"/>
              <w:rPr>
                <w:sz w:val="20"/>
                <w:szCs w:val="20"/>
                <w:color w:val="auto"/>
              </w:rPr>
            </w:pPr>
            <w:r>
              <w:rPr>
                <w:rFonts w:ascii="Arial" w:cs="Arial" w:eastAsia="Arial" w:hAnsi="Arial"/>
                <w:sz w:val="16"/>
                <w:szCs w:val="16"/>
                <w:color w:val="auto"/>
              </w:rPr>
              <w:t>Production (sales volumes)</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(887)</w:t>
            </w: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(887)</w:t>
            </w:r>
          </w:p>
        </w:tc>
        <w:tc>
          <w:tcPr>
            <w:tcW w:w="20" w:type="dxa"/>
            <w:vAlign w:val="bottom"/>
          </w:tcPr>
          <w:p>
            <w:pPr>
              <w:spacing w:after="0"/>
              <w:rPr>
                <w:sz w:val="17"/>
                <w:szCs w:val="17"/>
                <w:color w:val="auto"/>
              </w:rPr>
            </w:pPr>
          </w:p>
        </w:tc>
      </w:tr>
      <w:tr>
        <w:trPr>
          <w:trHeight w:val="196"/>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June 30, 2021</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21,573</w:t>
            </w:r>
          </w:p>
        </w:tc>
        <w:tc>
          <w:tcPr>
            <w:tcW w:w="2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1,813</w:t>
            </w:r>
          </w:p>
        </w:tc>
        <w:tc>
          <w:tcPr>
            <w:tcW w:w="2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23,386</w:t>
            </w:r>
          </w:p>
        </w:tc>
        <w:tc>
          <w:tcPr>
            <w:tcW w:w="20" w:type="dxa"/>
            <w:vAlign w:val="bottom"/>
          </w:tcPr>
          <w:p>
            <w:pPr>
              <w:spacing w:after="0"/>
              <w:rPr>
                <w:sz w:val="17"/>
                <w:szCs w:val="17"/>
                <w:color w:val="auto"/>
              </w:rPr>
            </w:pPr>
          </w:p>
        </w:tc>
      </w:tr>
      <w:tr>
        <w:trPr>
          <w:trHeight w:val="203"/>
        </w:trPr>
        <w:tc>
          <w:tcPr>
            <w:tcW w:w="5460" w:type="dxa"/>
            <w:vAlign w:val="bottom"/>
          </w:tcPr>
          <w:p>
            <w:pPr>
              <w:ind w:left="120"/>
              <w:spacing w:after="0"/>
              <w:rPr>
                <w:sz w:val="20"/>
                <w:szCs w:val="20"/>
                <w:color w:val="auto"/>
              </w:rPr>
            </w:pPr>
            <w:r>
              <w:rPr>
                <w:rFonts w:ascii="Arial" w:cs="Arial" w:eastAsia="Arial" w:hAnsi="Arial"/>
                <w:sz w:val="16"/>
                <w:szCs w:val="16"/>
                <w:color w:val="auto"/>
              </w:rPr>
              <w:t>Revisions of previous estimates</w:t>
            </w:r>
          </w:p>
        </w:tc>
        <w:tc>
          <w:tcPr>
            <w:tcW w:w="1000" w:type="dxa"/>
            <w:vAlign w:val="bottom"/>
          </w:tcPr>
          <w:p>
            <w:pPr>
              <w:jc w:val="right"/>
              <w:spacing w:after="0"/>
              <w:rPr>
                <w:sz w:val="20"/>
                <w:szCs w:val="20"/>
                <w:color w:val="auto"/>
              </w:rPr>
            </w:pPr>
            <w:r>
              <w:rPr>
                <w:rFonts w:ascii="Arial" w:cs="Arial" w:eastAsia="Arial" w:hAnsi="Arial"/>
                <w:sz w:val="16"/>
                <w:szCs w:val="16"/>
                <w:color w:val="auto"/>
              </w:rPr>
              <w:t>3,970</w:t>
            </w:r>
          </w:p>
        </w:tc>
        <w:tc>
          <w:tcPr>
            <w:tcW w:w="20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(1,813)</w:t>
            </w:r>
          </w:p>
        </w:tc>
        <w:tc>
          <w:tcPr>
            <w:tcW w:w="1020" w:type="dxa"/>
            <w:vAlign w:val="bottom"/>
          </w:tcPr>
          <w:p>
            <w:pPr>
              <w:jc w:val="right"/>
              <w:spacing w:after="0"/>
              <w:rPr>
                <w:sz w:val="20"/>
                <w:szCs w:val="20"/>
                <w:color w:val="auto"/>
              </w:rPr>
            </w:pPr>
            <w:r>
              <w:rPr>
                <w:rFonts w:ascii="Arial" w:cs="Arial" w:eastAsia="Arial" w:hAnsi="Arial"/>
                <w:sz w:val="16"/>
                <w:szCs w:val="16"/>
                <w:color w:val="auto"/>
              </w:rPr>
              <w:t>2,157</w:t>
            </w:r>
          </w:p>
        </w:tc>
        <w:tc>
          <w:tcPr>
            <w:tcW w:w="20" w:type="dxa"/>
            <w:vAlign w:val="bottom"/>
          </w:tcPr>
          <w:p>
            <w:pPr>
              <w:spacing w:after="0"/>
              <w:rPr>
                <w:sz w:val="17"/>
                <w:szCs w:val="17"/>
                <w:color w:val="auto"/>
              </w:rPr>
            </w:pPr>
          </w:p>
        </w:tc>
      </w:tr>
      <w:tr>
        <w:trPr>
          <w:trHeight w:val="203"/>
        </w:trPr>
        <w:tc>
          <w:tcPr>
            <w:tcW w:w="5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Improved recovery, extensions and discoveries</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3,597</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3,597</w:t>
            </w:r>
          </w:p>
        </w:tc>
        <w:tc>
          <w:tcPr>
            <w:tcW w:w="20" w:type="dxa"/>
            <w:vAlign w:val="bottom"/>
          </w:tcPr>
          <w:p>
            <w:pPr>
              <w:spacing w:after="0"/>
              <w:rPr>
                <w:sz w:val="17"/>
                <w:szCs w:val="17"/>
                <w:color w:val="auto"/>
              </w:rPr>
            </w:pPr>
          </w:p>
        </w:tc>
      </w:tr>
      <w:tr>
        <w:trPr>
          <w:trHeight w:val="203"/>
        </w:trPr>
        <w:tc>
          <w:tcPr>
            <w:tcW w:w="5460" w:type="dxa"/>
            <w:vAlign w:val="bottom"/>
          </w:tcPr>
          <w:p>
            <w:pPr>
              <w:ind w:left="120"/>
              <w:spacing w:after="0"/>
              <w:rPr>
                <w:sz w:val="20"/>
                <w:szCs w:val="20"/>
                <w:color w:val="auto"/>
              </w:rPr>
            </w:pPr>
            <w:r>
              <w:rPr>
                <w:rFonts w:ascii="Arial" w:cs="Arial" w:eastAsia="Arial" w:hAnsi="Arial"/>
                <w:sz w:val="16"/>
                <w:szCs w:val="16"/>
                <w:color w:val="auto"/>
              </w:rPr>
              <w:t>Purchase of reserves in place</w:t>
            </w:r>
          </w:p>
        </w:tc>
        <w:tc>
          <w:tcPr>
            <w:tcW w:w="1000" w:type="dxa"/>
            <w:vAlign w:val="bottom"/>
          </w:tcPr>
          <w:p>
            <w:pPr>
              <w:jc w:val="right"/>
              <w:spacing w:after="0"/>
              <w:rPr>
                <w:sz w:val="20"/>
                <w:szCs w:val="20"/>
                <w:color w:val="auto"/>
              </w:rPr>
            </w:pPr>
            <w:r>
              <w:rPr>
                <w:rFonts w:ascii="Arial" w:cs="Arial" w:eastAsia="Arial" w:hAnsi="Arial"/>
                <w:sz w:val="16"/>
                <w:szCs w:val="16"/>
                <w:color w:val="auto"/>
              </w:rPr>
              <w:t>9,276</w:t>
            </w:r>
          </w:p>
        </w:tc>
        <w:tc>
          <w:tcPr>
            <w:tcW w:w="200" w:type="dxa"/>
            <w:vAlign w:val="bottom"/>
          </w:tcPr>
          <w:p>
            <w:pPr>
              <w:spacing w:after="0"/>
              <w:rPr>
                <w:sz w:val="17"/>
                <w:szCs w:val="17"/>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9,276</w:t>
            </w:r>
          </w:p>
        </w:tc>
        <w:tc>
          <w:tcPr>
            <w:tcW w:w="20" w:type="dxa"/>
            <w:vAlign w:val="bottom"/>
          </w:tcPr>
          <w:p>
            <w:pPr>
              <w:spacing w:after="0"/>
              <w:rPr>
                <w:sz w:val="17"/>
                <w:szCs w:val="17"/>
                <w:color w:val="auto"/>
              </w:rPr>
            </w:pPr>
          </w:p>
        </w:tc>
      </w:tr>
      <w:tr>
        <w:trPr>
          <w:trHeight w:val="203"/>
        </w:trPr>
        <w:tc>
          <w:tcPr>
            <w:tcW w:w="5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Production (sales volumes)</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(2,173)</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(2,173)</w:t>
            </w:r>
          </w:p>
        </w:tc>
        <w:tc>
          <w:tcPr>
            <w:tcW w:w="20" w:type="dxa"/>
            <w:vAlign w:val="bottom"/>
          </w:tcPr>
          <w:p>
            <w:pPr>
              <w:spacing w:after="0"/>
              <w:rPr>
                <w:sz w:val="17"/>
                <w:szCs w:val="17"/>
                <w:color w:val="auto"/>
              </w:rPr>
            </w:pPr>
          </w:p>
        </w:tc>
      </w:tr>
      <w:tr>
        <w:trPr>
          <w:trHeight w:val="196"/>
        </w:trPr>
        <w:tc>
          <w:tcPr>
            <w:tcW w:w="5460" w:type="dxa"/>
            <w:vAlign w:val="bottom"/>
          </w:tcPr>
          <w:p>
            <w:pPr>
              <w:ind w:left="20"/>
              <w:spacing w:after="0"/>
              <w:rPr>
                <w:sz w:val="20"/>
                <w:szCs w:val="20"/>
                <w:color w:val="auto"/>
              </w:rPr>
            </w:pPr>
            <w:r>
              <w:rPr>
                <w:rFonts w:ascii="Arial" w:cs="Arial" w:eastAsia="Arial" w:hAnsi="Arial"/>
                <w:sz w:val="16"/>
                <w:szCs w:val="16"/>
                <w:color w:val="auto"/>
              </w:rPr>
              <w:t>June 30, 2022</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32,646</w:t>
            </w:r>
          </w:p>
        </w:tc>
        <w:tc>
          <w:tcPr>
            <w:tcW w:w="200" w:type="dxa"/>
            <w:vAlign w:val="bottom"/>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3,597</w:t>
            </w:r>
          </w:p>
        </w:tc>
        <w:tc>
          <w:tcPr>
            <w:tcW w:w="200" w:type="dxa"/>
            <w:vAlign w:val="bottom"/>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36,243</w:t>
            </w:r>
          </w:p>
        </w:tc>
        <w:tc>
          <w:tcPr>
            <w:tcW w:w="20" w:type="dxa"/>
            <w:vAlign w:val="bottom"/>
          </w:tcPr>
          <w:p>
            <w:pPr>
              <w:spacing w:after="0"/>
              <w:rPr>
                <w:sz w:val="17"/>
                <w:szCs w:val="17"/>
                <w:color w:val="auto"/>
              </w:rPr>
            </w:pPr>
          </w:p>
        </w:tc>
      </w:tr>
      <w:tr>
        <w:trPr>
          <w:trHeight w:val="203"/>
        </w:trPr>
        <w:tc>
          <w:tcPr>
            <w:tcW w:w="5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Revisions of previous estimates</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(2,580)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(18)</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(2,598)</w:t>
            </w:r>
          </w:p>
        </w:tc>
        <w:tc>
          <w:tcPr>
            <w:tcW w:w="20" w:type="dxa"/>
            <w:vAlign w:val="bottom"/>
          </w:tcPr>
          <w:p>
            <w:pPr>
              <w:spacing w:after="0"/>
              <w:rPr>
                <w:sz w:val="17"/>
                <w:szCs w:val="17"/>
                <w:color w:val="auto"/>
              </w:rPr>
            </w:pPr>
          </w:p>
        </w:tc>
      </w:tr>
      <w:tr>
        <w:trPr>
          <w:trHeight w:val="203"/>
        </w:trPr>
        <w:tc>
          <w:tcPr>
            <w:tcW w:w="5460" w:type="dxa"/>
            <w:vAlign w:val="bottom"/>
          </w:tcPr>
          <w:p>
            <w:pPr>
              <w:ind w:left="120"/>
              <w:spacing w:after="0"/>
              <w:rPr>
                <w:sz w:val="20"/>
                <w:szCs w:val="20"/>
                <w:color w:val="auto"/>
              </w:rPr>
            </w:pPr>
            <w:r>
              <w:rPr>
                <w:rFonts w:ascii="Arial" w:cs="Arial" w:eastAsia="Arial" w:hAnsi="Arial"/>
                <w:sz w:val="16"/>
                <w:szCs w:val="16"/>
                <w:color w:val="auto"/>
              </w:rPr>
              <w:t>Improved recovery, extensions and discoveries</w:t>
            </w:r>
          </w:p>
        </w:tc>
        <w:tc>
          <w:tcPr>
            <w:tcW w:w="1000" w:type="dxa"/>
            <w:vAlign w:val="bottom"/>
          </w:tcPr>
          <w:p>
            <w:pPr>
              <w:jc w:val="right"/>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118</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124</w:t>
            </w:r>
          </w:p>
        </w:tc>
        <w:tc>
          <w:tcPr>
            <w:tcW w:w="20" w:type="dxa"/>
            <w:vAlign w:val="bottom"/>
          </w:tcPr>
          <w:p>
            <w:pPr>
              <w:spacing w:after="0"/>
              <w:rPr>
                <w:sz w:val="17"/>
                <w:szCs w:val="17"/>
                <w:color w:val="auto"/>
              </w:rPr>
            </w:pPr>
          </w:p>
        </w:tc>
      </w:tr>
      <w:tr>
        <w:trPr>
          <w:trHeight w:val="203"/>
        </w:trPr>
        <w:tc>
          <w:tcPr>
            <w:tcW w:w="5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Production (sales volumes)</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(2,593)</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(2,593)</w:t>
            </w:r>
          </w:p>
        </w:tc>
        <w:tc>
          <w:tcPr>
            <w:tcW w:w="20" w:type="dxa"/>
            <w:vAlign w:val="bottom"/>
          </w:tcPr>
          <w:p>
            <w:pPr>
              <w:spacing w:after="0"/>
              <w:rPr>
                <w:sz w:val="17"/>
                <w:szCs w:val="17"/>
                <w:color w:val="auto"/>
              </w:rPr>
            </w:pPr>
          </w:p>
        </w:tc>
      </w:tr>
      <w:tr>
        <w:trPr>
          <w:trHeight w:val="196"/>
        </w:trPr>
        <w:tc>
          <w:tcPr>
            <w:tcW w:w="5460" w:type="dxa"/>
            <w:vAlign w:val="bottom"/>
          </w:tcPr>
          <w:p>
            <w:pPr>
              <w:ind w:left="20"/>
              <w:spacing w:after="0"/>
              <w:rPr>
                <w:sz w:val="20"/>
                <w:szCs w:val="20"/>
                <w:color w:val="auto"/>
              </w:rPr>
            </w:pPr>
            <w:r>
              <w:rPr>
                <w:rFonts w:ascii="Arial" w:cs="Arial" w:eastAsia="Arial" w:hAnsi="Arial"/>
                <w:sz w:val="16"/>
                <w:szCs w:val="16"/>
                <w:color w:val="auto"/>
              </w:rPr>
              <w:t>June 30, 2023</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27,479</w:t>
            </w:r>
          </w:p>
        </w:tc>
        <w:tc>
          <w:tcPr>
            <w:tcW w:w="20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3,697</w:t>
            </w:r>
          </w:p>
        </w:tc>
        <w:tc>
          <w:tcPr>
            <w:tcW w:w="20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31,176</w:t>
            </w:r>
          </w:p>
        </w:tc>
        <w:tc>
          <w:tcPr>
            <w:tcW w:w="20" w:type="dxa"/>
            <w:vAlign w:val="bottom"/>
          </w:tcPr>
          <w:p>
            <w:pPr>
              <w:spacing w:after="0"/>
              <w:rPr>
                <w:sz w:val="17"/>
                <w:szCs w:val="17"/>
                <w:color w:val="auto"/>
              </w:rPr>
            </w:pPr>
          </w:p>
        </w:tc>
      </w:tr>
      <w:tr>
        <w:trPr>
          <w:trHeight w:val="20"/>
        </w:trPr>
        <w:tc>
          <w:tcPr>
            <w:tcW w:w="54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 the fiscal year ended June 30, 2023, notable changes in total proved reserves included the following:</w:t>
      </w:r>
    </w:p>
    <w:p>
      <w:pPr>
        <w:spacing w:after="0" w:line="117" w:lineRule="exact"/>
        <w:rPr>
          <w:sz w:val="20"/>
          <w:szCs w:val="20"/>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Production</w:t>
      </w:r>
      <w:r>
        <w:rPr>
          <w:rFonts w:ascii="Arial" w:cs="Arial" w:eastAsia="Arial" w:hAnsi="Arial"/>
          <w:sz w:val="18"/>
          <w:szCs w:val="18"/>
          <w:color w:val="auto"/>
        </w:rPr>
        <w:t>. The company produced 2.6 MBOE during the year ended June 30, 2023.</w:t>
      </w:r>
    </w:p>
    <w:p>
      <w:pPr>
        <w:spacing w:after="0" w:line="23" w:lineRule="exact"/>
        <w:rPr>
          <w:rFonts w:ascii="Arial" w:cs="Arial" w:eastAsia="Arial" w:hAnsi="Arial"/>
          <w:sz w:val="18"/>
          <w:szCs w:val="18"/>
          <w:color w:val="auto"/>
        </w:rPr>
      </w:pPr>
    </w:p>
    <w:p>
      <w:pPr>
        <w:ind w:left="720" w:right="159" w:hanging="319"/>
        <w:spacing w:after="0" w:line="265" w:lineRule="auto"/>
        <w:tabs>
          <w:tab w:leader="none" w:pos="72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Improved recovery, extensions and discoveries</w:t>
      </w:r>
      <w:r>
        <w:rPr>
          <w:rFonts w:ascii="Arial" w:cs="Arial" w:eastAsia="Arial" w:hAnsi="Arial"/>
          <w:sz w:val="17"/>
          <w:szCs w:val="17"/>
          <w:color w:val="auto"/>
        </w:rPr>
        <w:t>. During the fiscal year 2023, the Company added 0.1 MMBOE of</w:t>
      </w:r>
      <w:r>
        <w:rPr>
          <w:rFonts w:ascii="Arial" w:cs="Arial" w:eastAsia="Arial" w:hAnsi="Arial"/>
          <w:sz w:val="17"/>
          <w:szCs w:val="17"/>
          <w:i w:val="1"/>
          <w:iCs w:val="1"/>
          <w:color w:val="auto"/>
        </w:rPr>
        <w:t xml:space="preserve"> </w:t>
      </w:r>
      <w:r>
        <w:rPr>
          <w:rFonts w:ascii="Arial" w:cs="Arial" w:eastAsia="Arial" w:hAnsi="Arial"/>
          <w:sz w:val="17"/>
          <w:szCs w:val="17"/>
          <w:color w:val="auto"/>
        </w:rPr>
        <w:t>proved reserves primarily associated with the addition of two new PUD wells at Delhi Field.</w:t>
      </w:r>
    </w:p>
    <w:p>
      <w:pPr>
        <w:ind w:left="720" w:right="279" w:hanging="319"/>
        <w:spacing w:after="0" w:line="295" w:lineRule="auto"/>
        <w:tabs>
          <w:tab w:leader="none" w:pos="72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Revisions of previous estimates. </w:t>
      </w:r>
      <w:r>
        <w:rPr>
          <w:rFonts w:ascii="Arial" w:cs="Arial" w:eastAsia="Arial" w:hAnsi="Arial"/>
          <w:sz w:val="16"/>
          <w:szCs w:val="16"/>
          <w:color w:val="auto"/>
        </w:rPr>
        <w:t>Net Revisions in fiscal year 2023 totaled 2.6 MMBOE primarily associated the</w:t>
      </w:r>
      <w:r>
        <w:rPr>
          <w:rFonts w:ascii="Arial" w:cs="Arial" w:eastAsia="Arial" w:hAnsi="Arial"/>
          <w:sz w:val="16"/>
          <w:szCs w:val="16"/>
          <w:i w:val="1"/>
          <w:iCs w:val="1"/>
          <w:color w:val="auto"/>
        </w:rPr>
        <w:t xml:space="preserve"> </w:t>
      </w:r>
      <w:r>
        <w:rPr>
          <w:rFonts w:ascii="Arial" w:cs="Arial" w:eastAsia="Arial" w:hAnsi="Arial"/>
          <w:sz w:val="16"/>
          <w:szCs w:val="16"/>
          <w:color w:val="auto"/>
        </w:rPr>
        <w:t>Delhi Field and Barnett Shale. Reserve projections were revised downward at Delhi Field due to actual fiscal 2023 production coming in lower than fiscal year end 2022 projection. Additionally, Barnett Shale reserves decreased due primarily to increased production costs in the field shortening the economic life of many wells.</w:t>
      </w:r>
    </w:p>
    <w:p>
      <w:pPr>
        <w:spacing w:after="0" w:line="5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 the fiscal year ended June 30, 2022, notable changes in total proved reserves included the following:</w:t>
      </w:r>
    </w:p>
    <w:p>
      <w:pPr>
        <w:spacing w:after="0" w:line="117" w:lineRule="exact"/>
        <w:rPr>
          <w:sz w:val="20"/>
          <w:szCs w:val="20"/>
          <w:color w:val="auto"/>
        </w:rPr>
      </w:pPr>
    </w:p>
    <w:p>
      <w:pPr>
        <w:ind w:left="720" w:right="319" w:hanging="319"/>
        <w:spacing w:after="0" w:line="274" w:lineRule="auto"/>
        <w:tabs>
          <w:tab w:leader="none" w:pos="720"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Purchase of reserves in place</w:t>
      </w:r>
      <w:r>
        <w:rPr>
          <w:rFonts w:ascii="Arial" w:cs="Arial" w:eastAsia="Arial" w:hAnsi="Arial"/>
          <w:sz w:val="17"/>
          <w:szCs w:val="17"/>
          <w:color w:val="auto"/>
        </w:rPr>
        <w:t>. During the fiscal year ended 2022, the Company completed the Williston Basin</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 and the Jonah Field Acquisition. See Note 4, “</w:t>
      </w:r>
      <w:r>
        <w:rPr>
          <w:rFonts w:ascii="Arial" w:cs="Arial" w:eastAsia="Arial" w:hAnsi="Arial"/>
          <w:sz w:val="17"/>
          <w:szCs w:val="17"/>
          <w:i w:val="1"/>
          <w:iCs w:val="1"/>
          <w:color w:val="auto"/>
        </w:rPr>
        <w:t>Acquisitions</w:t>
      </w:r>
      <w:r>
        <w:rPr>
          <w:rFonts w:ascii="Arial" w:cs="Arial" w:eastAsia="Arial" w:hAnsi="Arial"/>
          <w:sz w:val="17"/>
          <w:szCs w:val="17"/>
          <w:color w:val="auto"/>
        </w:rPr>
        <w:t>” for more details.</w:t>
      </w:r>
    </w:p>
    <w:p>
      <w:pPr>
        <w:ind w:left="720" w:right="319" w:hanging="319"/>
        <w:spacing w:after="0" w:line="250"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Improved recovery, extensions and discoveries</w:t>
      </w:r>
      <w:r>
        <w:rPr>
          <w:rFonts w:ascii="Arial" w:cs="Arial" w:eastAsia="Arial" w:hAnsi="Arial"/>
          <w:sz w:val="18"/>
          <w:szCs w:val="18"/>
          <w:color w:val="auto"/>
        </w:rPr>
        <w:t>. During the fiscal year 2022, the Company added 3.6 MBOE of</w:t>
      </w:r>
      <w:r>
        <w:rPr>
          <w:rFonts w:ascii="Arial" w:cs="Arial" w:eastAsia="Arial" w:hAnsi="Arial"/>
          <w:sz w:val="18"/>
          <w:szCs w:val="18"/>
          <w:i w:val="1"/>
          <w:iCs w:val="1"/>
          <w:color w:val="auto"/>
        </w:rPr>
        <w:t xml:space="preserve"> </w:t>
      </w:r>
      <w:r>
        <w:rPr>
          <w:rFonts w:ascii="Arial" w:cs="Arial" w:eastAsia="Arial" w:hAnsi="Arial"/>
          <w:sz w:val="18"/>
          <w:szCs w:val="18"/>
          <w:color w:val="auto"/>
        </w:rPr>
        <w:t>PUD reserves associated with drilling locations at its Willison Basin properties.</w:t>
      </w:r>
    </w:p>
    <w:p>
      <w:pPr>
        <w:ind w:left="720" w:right="159" w:hanging="319"/>
        <w:spacing w:after="0" w:line="268" w:lineRule="auto"/>
        <w:tabs>
          <w:tab w:leader="none" w:pos="720"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 xml:space="preserve">Revisions of previous estimates. </w:t>
      </w:r>
      <w:r>
        <w:rPr>
          <w:rFonts w:ascii="Arial" w:cs="Arial" w:eastAsia="Arial" w:hAnsi="Arial"/>
          <w:sz w:val="17"/>
          <w:szCs w:val="17"/>
          <w:color w:val="auto"/>
        </w:rPr>
        <w:t>Net Revisions in fiscal year 2022 totaled 2.2 MMBOE, which included a net</w:t>
      </w:r>
      <w:r>
        <w:rPr>
          <w:rFonts w:ascii="Arial" w:cs="Arial" w:eastAsia="Arial" w:hAnsi="Arial"/>
          <w:sz w:val="17"/>
          <w:szCs w:val="17"/>
          <w:i w:val="1"/>
          <w:iCs w:val="1"/>
          <w:color w:val="auto"/>
        </w:rPr>
        <w:t xml:space="preserve"> </w:t>
      </w:r>
      <w:r>
        <w:rPr>
          <w:rFonts w:ascii="Arial" w:cs="Arial" w:eastAsia="Arial" w:hAnsi="Arial"/>
          <w:sz w:val="17"/>
          <w:szCs w:val="17"/>
          <w:color w:val="auto"/>
        </w:rPr>
        <w:t>positive revision in the Company’s proved developed reserves of 4.0 MMBOE offset by the removal of 1.8 MMBOE of PUD reserves at the Delhi Field, related to Test Site V. At this time, the operator at Delhi does not currently have Test Site V on its expenditure schedule for the next five years and, as a result, has been excluded from the Company’s PUD reserves. The net positive revision in the Company’s proved developed reserves of 4.0 MMBOE includes positive revisions totaling 4.7 MMBOE primarily related to the improvement in the SEC trailing 12-month pricing offset by a 0.7 MMBOE downward adjustment at Delhi due to lower than anticipated production during fiscal year 2022.</w:t>
      </w:r>
    </w:p>
    <w:p>
      <w:pPr>
        <w:spacing w:after="0" w:line="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 the fiscal year ended June 30, 2021, notable changes in total proved reserves included the following:</w:t>
      </w:r>
    </w:p>
    <w:p>
      <w:pPr>
        <w:spacing w:after="0" w:line="117" w:lineRule="exact"/>
        <w:rPr>
          <w:sz w:val="20"/>
          <w:szCs w:val="20"/>
          <w:color w:val="auto"/>
        </w:rPr>
      </w:pPr>
    </w:p>
    <w:p>
      <w:pPr>
        <w:ind w:left="720" w:right="239" w:hanging="319"/>
        <w:spacing w:after="0" w:line="258"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Purchase of reserves in place</w:t>
      </w:r>
      <w:r>
        <w:rPr>
          <w:rFonts w:ascii="Arial" w:cs="Arial" w:eastAsia="Arial" w:hAnsi="Arial"/>
          <w:sz w:val="18"/>
          <w:szCs w:val="18"/>
          <w:color w:val="auto"/>
        </w:rPr>
        <w:t>. During the fiscal year ended 2021, the Company completed the acquisition of its</w:t>
      </w:r>
      <w:r>
        <w:rPr>
          <w:rFonts w:ascii="Arial" w:cs="Arial" w:eastAsia="Arial" w:hAnsi="Arial"/>
          <w:sz w:val="18"/>
          <w:szCs w:val="18"/>
          <w:i w:val="1"/>
          <w:iCs w:val="1"/>
          <w:color w:val="auto"/>
        </w:rPr>
        <w:t xml:space="preserve"> </w:t>
      </w:r>
      <w:r>
        <w:rPr>
          <w:rFonts w:ascii="Arial" w:cs="Arial" w:eastAsia="Arial" w:hAnsi="Arial"/>
          <w:sz w:val="18"/>
          <w:szCs w:val="18"/>
          <w:color w:val="auto"/>
        </w:rPr>
        <w:t>Barnett Shale properties totaling $17.4 million.</w:t>
      </w:r>
    </w:p>
    <w:p>
      <w:pPr>
        <w:spacing w:after="0" w:line="1" w:lineRule="exact"/>
        <w:rPr>
          <w:rFonts w:ascii="Arial" w:cs="Arial" w:eastAsia="Arial" w:hAnsi="Arial"/>
          <w:sz w:val="18"/>
          <w:szCs w:val="18"/>
          <w:color w:val="auto"/>
        </w:rPr>
      </w:pPr>
    </w:p>
    <w:p>
      <w:pPr>
        <w:ind w:left="720" w:right="79" w:hanging="319"/>
        <w:spacing w:after="0" w:line="270" w:lineRule="auto"/>
        <w:tabs>
          <w:tab w:leader="none" w:pos="720"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Revisions of previous estimates</w:t>
      </w:r>
      <w:r>
        <w:rPr>
          <w:rFonts w:ascii="Arial" w:cs="Arial" w:eastAsia="Arial" w:hAnsi="Arial"/>
          <w:sz w:val="17"/>
          <w:szCs w:val="17"/>
          <w:color w:val="auto"/>
        </w:rPr>
        <w:t>. Revisions in fiscal year 2021 were primarily due to positive revisions at</w:t>
      </w:r>
      <w:r>
        <w:rPr>
          <w:rFonts w:ascii="Arial" w:cs="Arial" w:eastAsia="Arial" w:hAnsi="Arial"/>
          <w:sz w:val="17"/>
          <w:szCs w:val="17"/>
          <w:i w:val="1"/>
          <w:iCs w:val="1"/>
          <w:color w:val="auto"/>
        </w:rPr>
        <w:t xml:space="preserve"> </w:t>
      </w:r>
      <w:r>
        <w:rPr>
          <w:rFonts w:ascii="Arial" w:cs="Arial" w:eastAsia="Arial" w:hAnsi="Arial"/>
          <w:sz w:val="17"/>
          <w:szCs w:val="17"/>
          <w:color w:val="auto"/>
        </w:rPr>
        <w:t>Hamilton Dome Field reflecting the impact of increased oil pricing in the field on future production and extension of reserves economic limit. Positive NGL revisions at Delhi Field reflect the impact of increased pricing on future production and the extension of reserves economic limit. Positive natural gas revisions in the Barnett Shale properties reflect the impact of increased natural gas prices from the date the Barnett Shale acquisition was completed on May 7, 2021 to the end of the fiscal year on June 30, 2021.</w:t>
      </w:r>
    </w:p>
    <w:p>
      <w:pPr>
        <w:spacing w:after="0" w:line="178" w:lineRule="exact"/>
        <w:rPr>
          <w:sz w:val="20"/>
          <w:szCs w:val="20"/>
          <w:color w:val="auto"/>
        </w:rPr>
      </w:pPr>
    </w:p>
    <w:p>
      <w:pPr>
        <w:ind w:left="60" w:right="199"/>
        <w:spacing w:after="0" w:line="342" w:lineRule="auto"/>
        <w:rPr>
          <w:sz w:val="20"/>
          <w:szCs w:val="20"/>
          <w:color w:val="auto"/>
        </w:rPr>
      </w:pPr>
      <w:r>
        <w:rPr>
          <w:rFonts w:ascii="Arial" w:cs="Arial" w:eastAsia="Arial" w:hAnsi="Arial"/>
          <w:sz w:val="16"/>
          <w:szCs w:val="16"/>
          <w:color w:val="auto"/>
        </w:rPr>
        <w:t xml:space="preserve">Future oil and natural gas sales, production, and development costs have been estimated using prices and costs in effect at the end of the years indicated, as required by ASC 932, </w:t>
      </w:r>
      <w:r>
        <w:rPr>
          <w:rFonts w:ascii="Arial" w:cs="Arial" w:eastAsia="Arial" w:hAnsi="Arial"/>
          <w:sz w:val="16"/>
          <w:szCs w:val="16"/>
          <w:i w:val="1"/>
          <w:iCs w:val="1"/>
          <w:color w:val="auto"/>
        </w:rPr>
        <w:t>Extractive Activities - Oil and Gas</w:t>
      </w:r>
      <w:r>
        <w:rPr>
          <w:rFonts w:ascii="Arial" w:cs="Arial" w:eastAsia="Arial" w:hAnsi="Arial"/>
          <w:sz w:val="16"/>
          <w:szCs w:val="16"/>
          <w:color w:val="auto"/>
        </w:rPr>
        <w:t xml:space="preserve"> (“ASC 932”). ASC 932</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1" w:name="page82"/>
    <w:bookmarkEnd w:id="8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0" w:lineRule="auto"/>
        <w:rPr>
          <w:sz w:val="20"/>
          <w:szCs w:val="20"/>
          <w:color w:val="auto"/>
        </w:rPr>
      </w:pPr>
      <w:r>
        <w:rPr>
          <w:rFonts w:ascii="Arial" w:cs="Arial" w:eastAsia="Arial" w:hAnsi="Arial"/>
          <w:sz w:val="17"/>
          <w:szCs w:val="17"/>
          <w:color w:val="auto"/>
        </w:rPr>
        <w:t>requires that net cash flow amounts be discounted at 10%. Future production and development costs are computed by estimating the expenditures to be incurred in developing and producing proved oil and natural gas reserves and for asset retirement obligations, assuming continuation of existing economic conditions. Future income tax expenses are computed by applying the appropriate period-end statutory tax rates to the future pretax net cash flow related to proved oil and natural gas reserves, less the tax basis of the related properties. The future income tax expenses do not give effect to tax credits, allowances, or the impact of general and administrative costs of ongoing operations relating to the Company’s proved oil and natural gas reserves. Changes in the demand for oil and natural gas, inflation, and other factors make such estimates inherently imprecise and subject to substantial revision. The table below should not be construed to be an estimate of the current market value of the Company’s proved reserves.</w:t>
      </w:r>
    </w:p>
    <w:p>
      <w:pPr>
        <w:spacing w:after="0" w:line="181"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The Standardized Measure of discounted future net cash flows related to proved oil and natural gas reserves as of June 30, 2023, 2022 and 2021 are as follows (in thousands):</w:t>
      </w:r>
    </w:p>
    <w:p>
      <w:pPr>
        <w:spacing w:after="0" w:line="184" w:lineRule="exact"/>
        <w:rPr>
          <w:sz w:val="20"/>
          <w:szCs w:val="20"/>
          <w:color w:val="auto"/>
        </w:rPr>
      </w:pPr>
    </w:p>
    <w:tbl>
      <w:tblPr>
        <w:tblLayout w:type="fixed"/>
        <w:tblInd w:w="280" w:type="dxa"/>
        <w:tblCellMar>
          <w:top w:w="0" w:type="dxa"/>
          <w:left w:w="0" w:type="dxa"/>
          <w:bottom w:w="0" w:type="dxa"/>
          <w:right w:w="0" w:type="dxa"/>
        </w:tblCellMar>
      </w:tblPr>
      <w:tr>
        <w:trPr>
          <w:trHeight w:val="213"/>
        </w:trPr>
        <w:tc>
          <w:tcPr>
            <w:tcW w:w="5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7"/>
          </w:tcPr>
          <w:p>
            <w:pPr>
              <w:jc w:val="right"/>
              <w:spacing w:after="0"/>
              <w:rPr>
                <w:sz w:val="20"/>
                <w:szCs w:val="20"/>
                <w:color w:val="auto"/>
              </w:rPr>
            </w:pPr>
            <w:r>
              <w:rPr>
                <w:rFonts w:ascii="Arial" w:cs="Arial" w:eastAsia="Arial" w:hAnsi="Arial"/>
                <w:sz w:val="16"/>
                <w:szCs w:val="16"/>
                <w:b w:val="1"/>
                <w:bCs w:val="1"/>
                <w:color w:val="auto"/>
              </w:rPr>
              <w:t>For the Years Ended June 30,</w:t>
            </w:r>
          </w:p>
        </w:tc>
        <w:tc>
          <w:tcPr>
            <w:tcW w:w="660" w:type="dxa"/>
            <w:vAlign w:val="bottom"/>
            <w:tcBorders>
              <w:bottom w:val="single" w:sz="8" w:color="auto"/>
            </w:tcBorders>
          </w:tcPr>
          <w:p>
            <w:pPr>
              <w:spacing w:after="0"/>
              <w:rPr>
                <w:sz w:val="18"/>
                <w:szCs w:val="18"/>
                <w:color w:val="auto"/>
              </w:rPr>
            </w:pPr>
          </w:p>
        </w:tc>
      </w:tr>
      <w:tr>
        <w:trPr>
          <w:trHeight w:val="199"/>
        </w:trPr>
        <w:tc>
          <w:tcPr>
            <w:tcW w:w="50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2023</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89"/>
              </w:rPr>
              <w:t>2021</w:t>
            </w:r>
          </w:p>
        </w:tc>
      </w:tr>
      <w:tr>
        <w:trPr>
          <w:trHeight w:val="196"/>
        </w:trPr>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Future cash inflows</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1,521,363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1,846,708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632,620</w:t>
            </w:r>
          </w:p>
        </w:tc>
      </w:tr>
      <w:tr>
        <w:trPr>
          <w:trHeight w:val="203"/>
        </w:trPr>
        <w:tc>
          <w:tcPr>
            <w:tcW w:w="5060" w:type="dxa"/>
            <w:vAlign w:val="bottom"/>
          </w:tcPr>
          <w:p>
            <w:pPr>
              <w:spacing w:after="0"/>
              <w:rPr>
                <w:sz w:val="20"/>
                <w:szCs w:val="20"/>
                <w:color w:val="auto"/>
              </w:rPr>
            </w:pPr>
            <w:r>
              <w:rPr>
                <w:rFonts w:ascii="Arial" w:cs="Arial" w:eastAsia="Arial" w:hAnsi="Arial"/>
                <w:sz w:val="16"/>
                <w:szCs w:val="16"/>
                <w:color w:val="auto"/>
              </w:rPr>
              <w:t>Future production costs and severance taxes</w:t>
            </w:r>
          </w:p>
        </w:tc>
        <w:tc>
          <w:tcPr>
            <w:tcW w:w="18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(860,054)</w:t>
            </w:r>
          </w:p>
        </w:tc>
        <w:tc>
          <w:tcPr>
            <w:tcW w:w="2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(997,362)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3"/>
              </w:rPr>
              <w:t>(398,022)</w:t>
            </w:r>
          </w:p>
        </w:tc>
      </w:tr>
      <w:tr>
        <w:trPr>
          <w:trHeight w:val="203"/>
        </w:trPr>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Future development costs</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(120,648)</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(105,966)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(29,339)</w:t>
            </w:r>
          </w:p>
        </w:tc>
      </w:tr>
      <w:tr>
        <w:trPr>
          <w:trHeight w:val="203"/>
        </w:trPr>
        <w:tc>
          <w:tcPr>
            <w:tcW w:w="5060" w:type="dxa"/>
            <w:vAlign w:val="bottom"/>
          </w:tcPr>
          <w:p>
            <w:pPr>
              <w:spacing w:after="0"/>
              <w:rPr>
                <w:sz w:val="20"/>
                <w:szCs w:val="20"/>
                <w:color w:val="auto"/>
              </w:rPr>
            </w:pPr>
            <w:r>
              <w:rPr>
                <w:rFonts w:ascii="Arial" w:cs="Arial" w:eastAsia="Arial" w:hAnsi="Arial"/>
                <w:sz w:val="16"/>
                <w:szCs w:val="16"/>
                <w:color w:val="auto"/>
              </w:rPr>
              <w:t>Future income tax expenses</w:t>
            </w:r>
          </w:p>
        </w:tc>
        <w:tc>
          <w:tcPr>
            <w:tcW w:w="18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(109,189)</w:t>
            </w:r>
          </w:p>
        </w:tc>
        <w:tc>
          <w:tcPr>
            <w:tcW w:w="2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(159,912)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(42,368)</w:t>
            </w:r>
          </w:p>
        </w:tc>
      </w:tr>
      <w:tr>
        <w:trPr>
          <w:trHeight w:val="196"/>
        </w:trPr>
        <w:tc>
          <w:tcPr>
            <w:tcW w:w="506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Future net cash flows</w:t>
            </w: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431,472</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583,468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162,891</w:t>
            </w:r>
          </w:p>
        </w:tc>
      </w:tr>
      <w:tr>
        <w:trPr>
          <w:trHeight w:val="203"/>
        </w:trPr>
        <w:tc>
          <w:tcPr>
            <w:tcW w:w="5060" w:type="dxa"/>
            <w:vAlign w:val="bottom"/>
          </w:tcPr>
          <w:p>
            <w:pPr>
              <w:spacing w:after="0"/>
              <w:rPr>
                <w:sz w:val="20"/>
                <w:szCs w:val="20"/>
                <w:color w:val="auto"/>
              </w:rPr>
            </w:pPr>
            <w:r>
              <w:rPr>
                <w:rFonts w:ascii="Arial" w:cs="Arial" w:eastAsia="Arial" w:hAnsi="Arial"/>
                <w:sz w:val="16"/>
                <w:szCs w:val="16"/>
                <w:color w:val="auto"/>
              </w:rPr>
              <w:t>10% annual discount for estimated timing of cash flows</w:t>
            </w:r>
          </w:p>
        </w:tc>
        <w:tc>
          <w:tcPr>
            <w:tcW w:w="18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(193,295)</w:t>
            </w:r>
          </w:p>
        </w:tc>
        <w:tc>
          <w:tcPr>
            <w:tcW w:w="2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(268,685)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(75,308)</w:t>
            </w:r>
          </w:p>
        </w:tc>
      </w:tr>
      <w:tr>
        <w:trPr>
          <w:trHeight w:val="196"/>
        </w:trPr>
        <w:tc>
          <w:tcPr>
            <w:tcW w:w="506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Standardized measure of discounted future net cash flows</w:t>
            </w: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238,177</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314,783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87,583</w:t>
            </w:r>
          </w:p>
        </w:tc>
      </w:tr>
      <w:tr>
        <w:trPr>
          <w:trHeight w:val="20"/>
        </w:trPr>
        <w:tc>
          <w:tcPr>
            <w:tcW w:w="5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79"/>
        <w:spacing w:after="0" w:line="286" w:lineRule="auto"/>
        <w:rPr>
          <w:sz w:val="20"/>
          <w:szCs w:val="20"/>
          <w:color w:val="auto"/>
        </w:rPr>
      </w:pPr>
      <w:r>
        <w:rPr>
          <w:rFonts w:ascii="Arial" w:cs="Arial" w:eastAsia="Arial" w:hAnsi="Arial"/>
          <w:sz w:val="17"/>
          <w:szCs w:val="17"/>
          <w:color w:val="auto"/>
        </w:rPr>
        <w:t>Future cash inflows represent expected revenues from production of period-end quantities of proved reserves based on the previous 12-month unweighted arithmetic average first-day-of-the-month commodity prices for each year and reflect adjustments for lease quality, transportation fees, energy content, and regional price differentials.</w:t>
      </w:r>
    </w:p>
    <w:p>
      <w:pPr>
        <w:spacing w:after="0" w:line="179" w:lineRule="exact"/>
        <w:rPr>
          <w:sz w:val="20"/>
          <w:szCs w:val="20"/>
          <w:color w:val="auto"/>
        </w:rPr>
      </w:pPr>
    </w:p>
    <w:tbl>
      <w:tblPr>
        <w:tblLayout w:type="fixed"/>
        <w:tblInd w:w="180" w:type="dxa"/>
        <w:tblCellMar>
          <w:top w:w="0" w:type="dxa"/>
          <w:left w:w="0" w:type="dxa"/>
          <w:bottom w:w="0" w:type="dxa"/>
          <w:right w:w="0" w:type="dxa"/>
        </w:tblCellMar>
      </w:tblPr>
      <w:tr>
        <w:trPr>
          <w:trHeight w:val="210"/>
        </w:trPr>
        <w:tc>
          <w:tcPr>
            <w:tcW w:w="5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For the Years Ended June 30,</w:t>
            </w:r>
          </w:p>
        </w:tc>
        <w:tc>
          <w:tcPr>
            <w:tcW w:w="700" w:type="dxa"/>
            <w:vAlign w:val="bottom"/>
            <w:tcBorders>
              <w:bottom w:val="single" w:sz="8" w:color="auto"/>
            </w:tcBorders>
          </w:tcPr>
          <w:p>
            <w:pPr>
              <w:spacing w:after="0"/>
              <w:rPr>
                <w:sz w:val="18"/>
                <w:szCs w:val="18"/>
                <w:color w:val="auto"/>
              </w:rPr>
            </w:pPr>
          </w:p>
        </w:tc>
      </w:tr>
      <w:tr>
        <w:trPr>
          <w:trHeight w:val="202"/>
        </w:trPr>
        <w:tc>
          <w:tcPr>
            <w:tcW w:w="518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NYMEX prices used in determining future cash flows:</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89"/>
              </w:rPr>
              <w:t>2021</w:t>
            </w:r>
          </w:p>
        </w:tc>
      </w:tr>
      <w:tr>
        <w:trPr>
          <w:trHeight w:val="196"/>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Oil (Bbl)</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83.23</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85.82</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49.72</w:t>
            </w:r>
          </w:p>
        </w:tc>
      </w:tr>
      <w:tr>
        <w:trPr>
          <w:trHeight w:val="206"/>
        </w:trPr>
        <w:tc>
          <w:tcPr>
            <w:tcW w:w="5180" w:type="dxa"/>
            <w:vAlign w:val="bottom"/>
          </w:tcPr>
          <w:p>
            <w:pPr>
              <w:spacing w:after="0"/>
              <w:rPr>
                <w:sz w:val="20"/>
                <w:szCs w:val="20"/>
                <w:color w:val="auto"/>
              </w:rPr>
            </w:pPr>
            <w:r>
              <w:rPr>
                <w:rFonts w:ascii="Arial" w:cs="Arial" w:eastAsia="Arial" w:hAnsi="Arial"/>
                <w:sz w:val="16"/>
                <w:szCs w:val="16"/>
                <w:color w:val="auto"/>
              </w:rPr>
              <w:t>Gas (MMBtu)</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5.19</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2.46</w:t>
            </w: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NGL prices utilized for future cash inflows were based on historical prices received, where available.</w:t>
      </w:r>
    </w:p>
    <w:p>
      <w:pPr>
        <w:spacing w:after="0" w:line="117"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A summary of the changes in the standardized measure of discounted future net cash flows applicable to proved oil, natural gas, and NGL reserves is as follows (in thousands):</w:t>
      </w:r>
    </w:p>
    <w:p>
      <w:pPr>
        <w:spacing w:after="0" w:line="184" w:lineRule="exact"/>
        <w:rPr>
          <w:sz w:val="20"/>
          <w:szCs w:val="20"/>
          <w:color w:val="auto"/>
        </w:rPr>
      </w:pPr>
    </w:p>
    <w:tbl>
      <w:tblPr>
        <w:tblLayout w:type="fixed"/>
        <w:tblInd w:w="240" w:type="dxa"/>
        <w:tblCellMar>
          <w:top w:w="0" w:type="dxa"/>
          <w:left w:w="0" w:type="dxa"/>
          <w:bottom w:w="0" w:type="dxa"/>
          <w:right w:w="0" w:type="dxa"/>
        </w:tblCellMar>
      </w:tblPr>
      <w:tr>
        <w:trPr>
          <w:trHeight w:val="213"/>
        </w:trPr>
        <w:tc>
          <w:tcPr>
            <w:tcW w:w="5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For the Years Ended June 30,</w:t>
            </w:r>
          </w:p>
        </w:tc>
        <w:tc>
          <w:tcPr>
            <w:tcW w:w="700" w:type="dxa"/>
            <w:vAlign w:val="bottom"/>
            <w:tcBorders>
              <w:bottom w:val="single" w:sz="8" w:color="auto"/>
            </w:tcBorders>
          </w:tcPr>
          <w:p>
            <w:pPr>
              <w:spacing w:after="0"/>
              <w:rPr>
                <w:sz w:val="18"/>
                <w:szCs w:val="18"/>
                <w:color w:val="auto"/>
              </w:rPr>
            </w:pPr>
          </w:p>
        </w:tc>
      </w:tr>
      <w:tr>
        <w:trPr>
          <w:trHeight w:val="199"/>
        </w:trPr>
        <w:tc>
          <w:tcPr>
            <w:tcW w:w="5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w w:val="95"/>
              </w:rPr>
              <w:t>2021</w:t>
            </w:r>
          </w:p>
        </w:tc>
      </w:tr>
      <w:tr>
        <w:trPr>
          <w:trHeight w:val="196"/>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Balance, beginning of year</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314,783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87,583</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62,491</w:t>
            </w:r>
          </w:p>
        </w:tc>
      </w:tr>
      <w:tr>
        <w:trPr>
          <w:trHeight w:val="193"/>
        </w:trPr>
        <w:tc>
          <w:tcPr>
            <w:tcW w:w="5120" w:type="dxa"/>
            <w:vAlign w:val="bottom"/>
          </w:tcPr>
          <w:p>
            <w:pPr>
              <w:spacing w:after="0"/>
              <w:rPr>
                <w:sz w:val="20"/>
                <w:szCs w:val="20"/>
                <w:color w:val="auto"/>
              </w:rPr>
            </w:pPr>
            <w:r>
              <w:rPr>
                <w:rFonts w:ascii="Arial" w:cs="Arial" w:eastAsia="Arial" w:hAnsi="Arial"/>
                <w:sz w:val="16"/>
                <w:szCs w:val="16"/>
                <w:color w:val="auto"/>
              </w:rPr>
              <w:t>Net changes in sales prices and production costs related to future</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06"/>
        </w:trPr>
        <w:tc>
          <w:tcPr>
            <w:tcW w:w="5120" w:type="dxa"/>
            <w:vAlign w:val="bottom"/>
          </w:tcPr>
          <w:p>
            <w:pPr>
              <w:spacing w:after="0"/>
              <w:rPr>
                <w:sz w:val="20"/>
                <w:szCs w:val="20"/>
                <w:color w:val="auto"/>
              </w:rPr>
            </w:pPr>
            <w:r>
              <w:rPr>
                <w:rFonts w:ascii="Arial" w:cs="Arial" w:eastAsia="Arial" w:hAnsi="Arial"/>
                <w:sz w:val="16"/>
                <w:szCs w:val="16"/>
                <w:color w:val="auto"/>
              </w:rPr>
              <w:t>production</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(31,923)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171,602</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11,538</w:t>
            </w:r>
          </w:p>
        </w:tc>
      </w:tr>
      <w:tr>
        <w:trPr>
          <w:trHeight w:val="209"/>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Changes in estimated future development costs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w:t>
            </w: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Sales of oil, natural gas and NGLs produced, net of production costs</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(68,969)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(60,269)</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(16,115)</w:t>
            </w:r>
          </w:p>
        </w:tc>
      </w:tr>
      <w:tr>
        <w:trPr>
          <w:trHeight w:val="203"/>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Net change due to extensions, discoveries, and improved recovery</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43,495</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Net change due to revisions in quantity estimates</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(34,056)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48,177</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6,841</w:t>
            </w:r>
          </w:p>
        </w:tc>
      </w:tr>
      <w:tr>
        <w:trPr>
          <w:trHeight w:val="202"/>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Net change due to purchase of minerals in place</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100,675</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31,461</w:t>
            </w: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Accretion of discount</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40,382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14,425</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7,529</w:t>
            </w:r>
          </w:p>
        </w:tc>
      </w:tr>
      <w:tr>
        <w:trPr>
          <w:trHeight w:val="203"/>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Net change in discounted income taxes</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26,006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(65,559)</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(10,678)</w:t>
            </w:r>
          </w:p>
        </w:tc>
      </w:tr>
      <w:tr>
        <w:trPr>
          <w:trHeight w:val="203"/>
        </w:trPr>
        <w:tc>
          <w:tcPr>
            <w:tcW w:w="51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(4,455)</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(19,026)</w:t>
            </w:r>
          </w:p>
        </w:tc>
        <w:tc>
          <w:tcPr>
            <w:tcW w:w="2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(5,887)</w:t>
            </w:r>
          </w:p>
        </w:tc>
      </w:tr>
      <w:tr>
        <w:trPr>
          <w:trHeight w:val="196"/>
        </w:trPr>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end of year</w:t>
            </w: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238,177</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314,783</w:t>
            </w:r>
          </w:p>
        </w:tc>
        <w:tc>
          <w:tcPr>
            <w:tcW w:w="2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87,583</w:t>
            </w:r>
          </w:p>
        </w:tc>
      </w:tr>
      <w:tr>
        <w:trPr>
          <w:trHeight w:val="20"/>
        </w:trPr>
        <w:tc>
          <w:tcPr>
            <w:tcW w:w="5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2" w:name="page83"/>
    <w:bookmarkEnd w:id="8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Exchange Act reports is recorded, processed, summarized, and reported within the time periods specified in the Securities and Exchange Commission’s rules and forms; this information is accumulated and communicated to our management, including our Principal Executive Officer and Principal Financial Officer, as appropriate to allow for timely decisions regarding required disclosure.</w:t>
      </w:r>
    </w:p>
    <w:p>
      <w:pPr>
        <w:spacing w:after="0" w:line="188" w:lineRule="exact"/>
        <w:rPr>
          <w:sz w:val="20"/>
          <w:szCs w:val="20"/>
          <w:color w:val="auto"/>
        </w:rPr>
      </w:pPr>
    </w:p>
    <w:p>
      <w:pPr>
        <w:ind w:left="60" w:right="59"/>
        <w:spacing w:after="0" w:line="272" w:lineRule="auto"/>
        <w:rPr>
          <w:sz w:val="20"/>
          <w:szCs w:val="20"/>
          <w:color w:val="auto"/>
        </w:rPr>
      </w:pPr>
      <w:r>
        <w:rPr>
          <w:rFonts w:ascii="Arial" w:cs="Arial" w:eastAsia="Arial" w:hAnsi="Arial"/>
          <w:sz w:val="17"/>
          <w:szCs w:val="17"/>
          <w:color w:val="auto"/>
        </w:rPr>
        <w:t>As required by Securities and Exchange Commission Rule 13a-15(b),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 Based on this evaluation, our Principal Executive Officer and Principal Financial Officer concluded that our disclosure controls and procedures are effective in ensuring that the information required to be disclosed in our reports filed or submitted under the Exchange Act is recorded, processed, summarized, and reported within the time periods specified in the Securities and Exchange Commission rules and forms.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left="60" w:right="259"/>
        <w:spacing w:after="0" w:line="293"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of the Exchange Act)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Generally accepted accounting principles include those policies and procedures that:</w:t>
      </w:r>
    </w:p>
    <w:p>
      <w:pPr>
        <w:spacing w:after="0" w:line="164" w:lineRule="exact"/>
        <w:rPr>
          <w:sz w:val="20"/>
          <w:szCs w:val="20"/>
          <w:color w:val="auto"/>
        </w:rPr>
      </w:pPr>
    </w:p>
    <w:p>
      <w:pPr>
        <w:ind w:left="1040" w:right="339" w:hanging="315"/>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70" w:lineRule="exact"/>
        <w:rPr>
          <w:rFonts w:ascii="Arial" w:cs="Arial" w:eastAsia="Arial" w:hAnsi="Arial"/>
          <w:sz w:val="18"/>
          <w:szCs w:val="18"/>
          <w:color w:val="auto"/>
        </w:rPr>
      </w:pPr>
    </w:p>
    <w:p>
      <w:pPr>
        <w:ind w:left="1040" w:right="199" w:hanging="315"/>
        <w:spacing w:after="0" w:line="259"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 authorizations of management and directors of the company; and</w:t>
      </w:r>
    </w:p>
    <w:p>
      <w:pPr>
        <w:spacing w:after="0" w:line="186" w:lineRule="exact"/>
        <w:rPr>
          <w:rFonts w:ascii="Arial" w:cs="Arial" w:eastAsia="Arial" w:hAnsi="Arial"/>
          <w:sz w:val="18"/>
          <w:szCs w:val="18"/>
          <w:color w:val="auto"/>
        </w:rPr>
      </w:pPr>
    </w:p>
    <w:p>
      <w:pPr>
        <w:ind w:left="1040" w:right="319" w:hanging="315"/>
        <w:spacing w:after="0" w:line="342" w:lineRule="auto"/>
        <w:tabs>
          <w:tab w:leader="none" w:pos="10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the company’s assets that could have a material effect on the financial statements.</w:t>
      </w:r>
    </w:p>
    <w:p>
      <w:pPr>
        <w:spacing w:after="0" w:line="124" w:lineRule="exact"/>
        <w:rPr>
          <w:sz w:val="20"/>
          <w:szCs w:val="20"/>
          <w:color w:val="auto"/>
        </w:rPr>
      </w:pPr>
    </w:p>
    <w:p>
      <w:pPr>
        <w:ind w:left="60" w:right="159"/>
        <w:spacing w:after="0" w:line="289"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Also, projections of any evaluation of effectiveness to future periods are subject to risk that controls may become inadequate because of changes in conditions, or that the degree of compliance with the policies or procedures may deteriorate. Under the supervision and with the participation of management, including the Principal Executive Officer and the Principal Financial Officer, an evaluation was conducted on the effectiveness of our internal control over financial reporting based on criteria established in the Internal Control-Integrated Framework issued by the Committee of Sponsoring Organizations of the Treadway Commission in 2013. Management concluded that we maintained effective internal control over financial reporting as of June 30, 2023.</w:t>
      </w:r>
    </w:p>
    <w:p>
      <w:pPr>
        <w:spacing w:after="0" w:line="166" w:lineRule="exact"/>
        <w:rPr>
          <w:sz w:val="20"/>
          <w:szCs w:val="20"/>
          <w:color w:val="auto"/>
        </w:rPr>
      </w:pPr>
    </w:p>
    <w:p>
      <w:pPr>
        <w:ind w:left="60" w:right="459"/>
        <w:spacing w:after="0" w:line="308" w:lineRule="auto"/>
        <w:rPr>
          <w:sz w:val="20"/>
          <w:szCs w:val="20"/>
          <w:color w:val="auto"/>
        </w:rPr>
      </w:pPr>
      <w:r>
        <w:rPr>
          <w:rFonts w:ascii="Arial" w:cs="Arial" w:eastAsia="Arial" w:hAnsi="Arial"/>
          <w:sz w:val="17"/>
          <w:szCs w:val="17"/>
          <w:color w:val="auto"/>
        </w:rPr>
        <w:t>The effectiveness of the Company’s internal controls over financial reporting as of June 30, 2023, has been audited by Moss Adams LLP., an independent registered public accounting firm, as stated in their report.</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3" w:name="page84"/>
    <w:bookmarkEnd w:id="8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left="60" w:right="139"/>
        <w:spacing w:after="0" w:line="342" w:lineRule="auto"/>
        <w:rPr>
          <w:sz w:val="20"/>
          <w:szCs w:val="20"/>
          <w:color w:val="auto"/>
        </w:rPr>
      </w:pPr>
      <w:r>
        <w:rPr>
          <w:rFonts w:ascii="Arial" w:cs="Arial" w:eastAsia="Arial" w:hAnsi="Arial"/>
          <w:sz w:val="16"/>
          <w:szCs w:val="16"/>
          <w:color w:val="auto"/>
        </w:rPr>
        <w:t>There has been no change in our internal control over financial reporting during the three months ended June 30, 2023 that has materially affected, or is reasonably likely to materially affect, our internal control over financial reporting.</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0" w:right="99"/>
        <w:spacing w:after="0" w:line="289" w:lineRule="auto"/>
        <w:rPr>
          <w:sz w:val="20"/>
          <w:szCs w:val="20"/>
          <w:color w:val="auto"/>
        </w:rPr>
      </w:pPr>
      <w:r>
        <w:rPr>
          <w:rFonts w:ascii="Arial" w:cs="Arial" w:eastAsia="Arial" w:hAnsi="Arial"/>
          <w:sz w:val="16"/>
          <w:szCs w:val="16"/>
          <w:color w:val="auto"/>
        </w:rPr>
        <w:t>On September 7, 2023, the Board of Directors of the Company approved and adopted Amended and Restated Bylaws for the Company, which were originally adopted effective January 2, 2004. The principal changes to the Bylaws are: (i) adding a new Section 2.10 specifying the procedures to be followed for shareholders in proposing nominees for director and other items of business at annual and special meetings of stockholders; (ii) expanding the ability of the Company to implement procedures that allow shareholders to participate in meetings remotely; (iii) providing for mandatory indemnification of officers and directors for certain actions to the extent permitted by Nevada law; and (iv) allowing shareholders to take action by written consent to the extent that such consent is signed by the holders of no less than two-thirds (2/3rds) of the outstanding shares of stock entitled to vote thereon. A copy of the Amended and Restated Bylaws of the Company is attached hereto as Exhibit 3.3 and is incorporated in this Item 9B by reference.</w:t>
      </w:r>
    </w:p>
    <w:p>
      <w:pPr>
        <w:spacing w:after="0" w:line="166" w:lineRule="exact"/>
        <w:rPr>
          <w:sz w:val="20"/>
          <w:szCs w:val="20"/>
          <w:color w:val="auto"/>
        </w:rPr>
      </w:pPr>
    </w:p>
    <w:p>
      <w:pPr>
        <w:ind w:left="60" w:right="119"/>
        <w:spacing w:after="0" w:line="254" w:lineRule="auto"/>
        <w:rPr>
          <w:sz w:val="20"/>
          <w:szCs w:val="20"/>
          <w:color w:val="auto"/>
        </w:rPr>
      </w:pPr>
      <w:r>
        <w:rPr>
          <w:rFonts w:ascii="Arial" w:cs="Arial" w:eastAsia="Arial" w:hAnsi="Arial"/>
          <w:sz w:val="18"/>
          <w:szCs w:val="18"/>
          <w:color w:val="auto"/>
        </w:rPr>
        <w:t>Also on September 7, 2023, the Board of Directors of the Company approved and adopted an Incentive Compensation Recoupment Policy intended to meet the requirements of newly adopted Section 811 of the NYSE American Company Guide and new Rule 10D-1 of the Securities Exchange Act of 1934, as amended. The Company is adopting the policy in advance of the deadline mandated by Section 811. As required by Section 811, the Company’s policy provides for the recovery of incentive compensation from current or former executive officers in the event of an accounting restatement. A copy of the Company’s Incentive Compensation Recoupment Policy is attached hereto as Exhibit 97 and is incorporated in this Item 9B by reference.</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4" w:name="page85"/>
    <w:bookmarkEnd w:id="8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color w:val="auto"/>
        </w:rPr>
        <w:t>Incorporated by reference to our Proxy Statement to be filed with the Securities and Exchange Commission pursuant to Regulation 14A within 120 days of the end of our 2023 fiscal year.</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color w:val="auto"/>
        </w:rPr>
        <w:t>Incorporated by reference to our Proxy Statement to be filed with the Securities and Exchange Commission pursuant to Regulation 14A within 120 days of the end of our 2023 fiscal year.</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252"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color w:val="auto"/>
        </w:rPr>
        <w:t>Incorporated by reference to our Proxy Statement to be filed with the Securities and Exchange Commission pursuant to Regulation 14A within 120 days of the end of our 2023 fiscal year.</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color w:val="auto"/>
        </w:rPr>
        <w:t>Incorporated by reference to our Proxy Statement to be filed with the Securities and Exchange Commission pursuant to Regulation 14A within 120 days of the end of our 2023 fiscal year.</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color w:val="auto"/>
        </w:rPr>
        <w:t>Incorporated by reference to our Proxy Statement to be filed with the Securities and Exchange Commission pursuant to Regulation 14A within 120 days of the end of our 2023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5" w:name="page86"/>
    <w:bookmarkEnd w:id="8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documents are filed as part of this report:</w:t>
      </w:r>
    </w:p>
    <w:p>
      <w:pPr>
        <w:spacing w:after="0" w:line="221" w:lineRule="exact"/>
        <w:rPr>
          <w:sz w:val="20"/>
          <w:szCs w:val="20"/>
          <w:color w:val="auto"/>
        </w:rPr>
      </w:pPr>
    </w:p>
    <w:p>
      <w:pPr>
        <w:ind w:left="700" w:hanging="326"/>
        <w:spacing w:after="0"/>
        <w:tabs>
          <w:tab w:leader="none" w:pos="7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225" w:lineRule="exact"/>
        <w:rPr>
          <w:rFonts w:ascii="Arial" w:cs="Arial" w:eastAsia="Arial" w:hAnsi="Arial"/>
          <w:sz w:val="18"/>
          <w:szCs w:val="18"/>
          <w:b w:val="1"/>
          <w:bCs w:val="1"/>
          <w:color w:val="auto"/>
        </w:rPr>
      </w:pPr>
    </w:p>
    <w:p>
      <w:pPr>
        <w:ind w:left="700" w:right="99"/>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The consolidated financial statements of the Company and its subsidiaries are included in Part II, Item 8 of this report:</w:t>
      </w:r>
    </w:p>
    <w:p>
      <w:pPr>
        <w:spacing w:after="0" w:line="16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Report of Independent Registered Public Accounting Firm on Consolidated Financial Statements</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Report of Independent Registered Public Accounting Firm on Internal Control Over Financial Reporting</w:t>
      </w:r>
    </w:p>
    <w:p>
      <w:pPr>
        <w:spacing w:after="0" w:line="2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Consolidated Statements of Changes in Stockholders’ Equity</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Notes to the Consolidated Financial Statements</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Supplemental Disclosure about Oil and Natural Gas Properties (unaudited)</w:t>
      </w:r>
    </w:p>
    <w:p>
      <w:pPr>
        <w:spacing w:after="0" w:line="207" w:lineRule="exact"/>
        <w:rPr>
          <w:sz w:val="20"/>
          <w:szCs w:val="20"/>
          <w:color w:val="auto"/>
        </w:rPr>
      </w:pPr>
    </w:p>
    <w:p>
      <w:pPr>
        <w:ind w:left="1020" w:right="1279" w:hanging="646"/>
        <w:spacing w:after="0" w:line="500" w:lineRule="auto"/>
        <w:tabs>
          <w:tab w:leader="none" w:pos="696"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Statements Schedules and Supplementary Information Required to be Submitted: </w:t>
      </w:r>
      <w:r>
        <w:rPr>
          <w:rFonts w:ascii="Arial" w:cs="Arial" w:eastAsia="Arial" w:hAnsi="Arial"/>
          <w:sz w:val="18"/>
          <w:szCs w:val="18"/>
          <w:color w:val="auto"/>
        </w:rPr>
        <w:t>None.</w:t>
      </w:r>
    </w:p>
    <w:p>
      <w:pPr>
        <w:spacing w:after="0" w:line="1" w:lineRule="exact"/>
        <w:rPr>
          <w:rFonts w:ascii="Arial" w:cs="Arial" w:eastAsia="Arial" w:hAnsi="Arial"/>
          <w:sz w:val="18"/>
          <w:szCs w:val="18"/>
          <w:b w:val="1"/>
          <w:bCs w:val="1"/>
          <w:color w:val="auto"/>
        </w:rPr>
      </w:pPr>
    </w:p>
    <w:p>
      <w:pPr>
        <w:ind w:left="700" w:hanging="326"/>
        <w:spacing w:after="0"/>
        <w:tabs>
          <w:tab w:leader="none" w:pos="7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rFonts w:ascii="Arial" w:cs="Arial" w:eastAsia="Arial" w:hAnsi="Arial"/>
          <w:sz w:val="18"/>
          <w:szCs w:val="18"/>
          <w:b w:val="1"/>
          <w:bCs w:val="1"/>
          <w:color w:val="auto"/>
        </w:rPr>
      </w:pPr>
    </w:p>
    <w:p>
      <w:pPr>
        <w:ind w:left="700" w:right="159"/>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 list of the exhibits filed or furnished with this report on Form 10-K (or incorporated by reference to exhibits previously filed or furnished by us) is provided in the Exhibit Index of this report. Those exhibits incorporated by reference herein are indicated as such by the information supplied in the parenthetical thereafter. Otherwise, the exhibits are filed herewith.</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6" w:name="page87"/>
    <w:bookmarkEnd w:id="86"/>
    <w:p>
      <w:pPr>
        <w:ind w:left="12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EXHIBIT INDEX</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300" w:type="dxa"/>
            <w:vAlign w:val="bottom"/>
            <w:gridSpan w:val="26"/>
          </w:tcPr>
          <w:p>
            <w:pPr>
              <w:ind w:left="40"/>
              <w:spacing w:after="0"/>
              <w:rPr>
                <w:sz w:val="20"/>
                <w:szCs w:val="20"/>
                <w:color w:val="auto"/>
              </w:rPr>
            </w:pPr>
            <w:r>
              <w:rPr>
                <w:rFonts w:ascii="Arial" w:cs="Arial" w:eastAsia="Arial" w:hAnsi="Arial"/>
                <w:sz w:val="18"/>
                <w:szCs w:val="18"/>
                <w:b w:val="1"/>
                <w:bCs w:val="1"/>
                <w:color w:val="auto"/>
              </w:rPr>
              <w:t>EXHIBIT INDEX</w:t>
            </w:r>
          </w:p>
        </w:tc>
      </w:tr>
      <w:tr>
        <w:trPr>
          <w:trHeight w:val="315"/>
        </w:trPr>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540" w:type="dxa"/>
            <w:vAlign w:val="bottom"/>
            <w:gridSpan w:val="25"/>
          </w:tcPr>
          <w:p>
            <w:pPr>
              <w:ind w:left="100"/>
              <w:spacing w:after="0"/>
              <w:rPr>
                <w:sz w:val="20"/>
                <w:szCs w:val="20"/>
                <w:color w:val="auto"/>
              </w:rPr>
            </w:pPr>
            <w:r>
              <w:rPr>
                <w:rFonts w:ascii="Arial" w:cs="Arial" w:eastAsia="Arial" w:hAnsi="Arial"/>
                <w:sz w:val="14"/>
                <w:szCs w:val="14"/>
                <w:b w:val="1"/>
                <w:bCs w:val="1"/>
                <w:color w:val="auto"/>
              </w:rPr>
              <w:t>DESCRIPTION</w:t>
            </w:r>
          </w:p>
        </w:tc>
      </w:tr>
      <w:tr>
        <w:trPr>
          <w:trHeight w:val="192"/>
        </w:trPr>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NUMBER</w:t>
            </w: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75"/>
        </w:trPr>
        <w:tc>
          <w:tcPr>
            <w:tcW w:w="820" w:type="dxa"/>
            <w:vAlign w:val="bottom"/>
            <w:tcBorders>
              <w:top w:val="single" w:sz="8" w:color="auto"/>
              <w:bottom w:val="single" w:sz="8" w:color="CCEEFF"/>
            </w:tcBorders>
            <w:shd w:val="clear" w:color="auto" w:fill="CCEEFF"/>
          </w:tcPr>
          <w:p>
            <w:pPr>
              <w:jc w:val="right"/>
              <w:spacing w:after="0" w:line="175" w:lineRule="exact"/>
              <w:rPr>
                <w:sz w:val="20"/>
                <w:szCs w:val="20"/>
                <w:color w:val="auto"/>
              </w:rPr>
            </w:pPr>
            <w:r>
              <w:rPr>
                <w:rFonts w:ascii="Arial" w:cs="Arial" w:eastAsia="Arial" w:hAnsi="Arial"/>
                <w:sz w:val="18"/>
                <w:szCs w:val="18"/>
                <w:color w:val="auto"/>
              </w:rPr>
              <w:t>3.1</w:t>
            </w:r>
          </w:p>
        </w:tc>
        <w:tc>
          <w:tcPr>
            <w:tcW w:w="48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7420" w:type="dxa"/>
            <w:vAlign w:val="bottom"/>
            <w:tcBorders>
              <w:top w:val="single" w:sz="8" w:color="auto"/>
              <w:bottom w:val="single" w:sz="8" w:color="0000EE"/>
            </w:tcBorders>
            <w:gridSpan w:val="22"/>
            <w:shd w:val="clear" w:color="auto" w:fill="CCEEFF"/>
          </w:tcPr>
          <w:p>
            <w:pPr>
              <w:spacing w:after="0" w:line="175" w:lineRule="exact"/>
              <w:rPr>
                <w:rFonts w:ascii="Arial" w:cs="Arial" w:eastAsia="Arial" w:hAnsi="Arial"/>
                <w:sz w:val="18"/>
                <w:szCs w:val="18"/>
                <w:color w:val="0000EE"/>
                <w:w w:val="91"/>
              </w:rPr>
            </w:pPr>
            <w:hyperlink r:id="rId102">
              <w:r>
                <w:rPr>
                  <w:rFonts w:ascii="Arial" w:cs="Arial" w:eastAsia="Arial" w:hAnsi="Arial"/>
                  <w:sz w:val="18"/>
                  <w:szCs w:val="18"/>
                  <w:color w:val="0000EE"/>
                  <w:w w:val="91"/>
                </w:rPr>
                <w:t>Restated Articles of Incorporation (incorporated by reference to Exhibit 3.1 of our Quarterly Report on</w:t>
              </w:r>
            </w:hyperlink>
          </w:p>
        </w:tc>
        <w:tc>
          <w:tcPr>
            <w:tcW w:w="400" w:type="dxa"/>
            <w:vAlign w:val="bottom"/>
            <w:tcBorders>
              <w:top w:val="single" w:sz="8" w:color="auto"/>
              <w:bottom w:val="single" w:sz="8" w:color="CCEEFF"/>
            </w:tcBorders>
            <w:gridSpan w:val="10"/>
            <w:shd w:val="clear" w:color="auto" w:fill="CCEEFF"/>
          </w:tcPr>
          <w:p>
            <w:pPr>
              <w:spacing w:after="0"/>
              <w:rPr>
                <w:sz w:val="15"/>
                <w:szCs w:val="15"/>
                <w:color w:val="auto"/>
              </w:rPr>
            </w:pPr>
          </w:p>
        </w:tc>
      </w:tr>
      <w:tr>
        <w:trPr>
          <w:trHeight w:val="243"/>
        </w:trPr>
        <w:tc>
          <w:tcPr>
            <w:tcW w:w="82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spacing w:after="0"/>
              <w:rPr>
                <w:sz w:val="21"/>
                <w:szCs w:val="21"/>
                <w:color w:val="auto"/>
              </w:rPr>
            </w:pPr>
          </w:p>
        </w:tc>
        <w:tc>
          <w:tcPr>
            <w:tcW w:w="7820" w:type="dxa"/>
            <w:vAlign w:val="bottom"/>
            <w:gridSpan w:val="32"/>
            <w:shd w:val="clear" w:color="auto" w:fill="CCEEFF"/>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Form 10-Q filed February 8, 2023)</w:t>
              </w:r>
            </w:hyperlink>
          </w:p>
        </w:tc>
      </w:tr>
      <w:tr>
        <w:trPr>
          <w:trHeight w:val="176"/>
        </w:trPr>
        <w:tc>
          <w:tcPr>
            <w:tcW w:w="82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3.3*</w:t>
            </w:r>
          </w:p>
        </w:tc>
        <w:tc>
          <w:tcPr>
            <w:tcW w:w="480" w:type="dxa"/>
            <w:vAlign w:val="bottom"/>
            <w:tcBorders>
              <w:top w:val="single" w:sz="8" w:color="CCEEFF"/>
            </w:tcBorders>
          </w:tcPr>
          <w:p>
            <w:pPr>
              <w:spacing w:after="0"/>
              <w:rPr>
                <w:sz w:val="15"/>
                <w:szCs w:val="15"/>
                <w:color w:val="auto"/>
              </w:rPr>
            </w:pPr>
          </w:p>
        </w:tc>
        <w:tc>
          <w:tcPr>
            <w:tcW w:w="2520" w:type="dxa"/>
            <w:vAlign w:val="bottom"/>
            <w:tcBorders>
              <w:top w:val="single" w:sz="8" w:color="0000EE"/>
            </w:tcBorders>
            <w:gridSpan w:val="6"/>
          </w:tcPr>
          <w:p>
            <w:pPr>
              <w:spacing w:after="0" w:line="176" w:lineRule="exact"/>
              <w:rPr>
                <w:sz w:val="20"/>
                <w:szCs w:val="20"/>
                <w:color w:val="auto"/>
              </w:rPr>
            </w:pPr>
            <w:r>
              <w:rPr>
                <w:rFonts w:ascii="Arial" w:cs="Arial" w:eastAsia="Arial" w:hAnsi="Arial"/>
                <w:sz w:val="18"/>
                <w:szCs w:val="18"/>
                <w:color w:val="0000EE"/>
                <w:w w:val="99"/>
              </w:rPr>
              <w:t>Amended and Restated Bylaws</w:t>
            </w:r>
          </w:p>
        </w:tc>
        <w:tc>
          <w:tcPr>
            <w:tcW w:w="5300" w:type="dxa"/>
            <w:vAlign w:val="bottom"/>
            <w:tcBorders>
              <w:top w:val="single" w:sz="8" w:color="CCEEFF"/>
            </w:tcBorders>
            <w:gridSpan w:val="26"/>
          </w:tcPr>
          <w:p>
            <w:pPr>
              <w:spacing w:after="0"/>
              <w:rPr>
                <w:sz w:val="15"/>
                <w:szCs w:val="15"/>
                <w:color w:val="auto"/>
              </w:rPr>
            </w:pPr>
          </w:p>
        </w:tc>
      </w:tr>
      <w:tr>
        <w:trPr>
          <w:trHeight w:val="48"/>
        </w:trPr>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9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175"/>
        </w:trPr>
        <w:tc>
          <w:tcPr>
            <w:tcW w:w="8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4.1</w:t>
            </w:r>
          </w:p>
        </w:tc>
        <w:tc>
          <w:tcPr>
            <w:tcW w:w="480" w:type="dxa"/>
            <w:vAlign w:val="bottom"/>
            <w:tcBorders>
              <w:bottom w:val="single" w:sz="8" w:color="CCEEFF"/>
              <w:right w:val="single" w:sz="8" w:color="CCEEFF"/>
            </w:tcBorders>
            <w:shd w:val="clear" w:color="auto" w:fill="CCEEFF"/>
          </w:tcPr>
          <w:p>
            <w:pPr>
              <w:spacing w:after="0"/>
              <w:rPr>
                <w:sz w:val="15"/>
                <w:szCs w:val="15"/>
                <w:color w:val="auto"/>
              </w:rPr>
            </w:pPr>
          </w:p>
        </w:tc>
        <w:tc>
          <w:tcPr>
            <w:tcW w:w="7580" w:type="dxa"/>
            <w:vAlign w:val="bottom"/>
            <w:tcBorders>
              <w:bottom w:val="single" w:sz="8" w:color="0000EE"/>
            </w:tcBorders>
            <w:gridSpan w:val="25"/>
            <w:shd w:val="clear" w:color="auto" w:fill="CCEEFF"/>
          </w:tcPr>
          <w:p>
            <w:pPr>
              <w:spacing w:after="0" w:line="176" w:lineRule="exact"/>
              <w:rPr>
                <w:rFonts w:ascii="Arial" w:cs="Arial" w:eastAsia="Arial" w:hAnsi="Arial"/>
                <w:sz w:val="18"/>
                <w:szCs w:val="18"/>
                <w:color w:val="0000EE"/>
                <w:w w:val="90"/>
              </w:rPr>
            </w:pPr>
            <w:hyperlink r:id="rId103">
              <w:r>
                <w:rPr>
                  <w:rFonts w:ascii="Arial" w:cs="Arial" w:eastAsia="Arial" w:hAnsi="Arial"/>
                  <w:sz w:val="18"/>
                  <w:szCs w:val="18"/>
                  <w:color w:val="0000EE"/>
                  <w:w w:val="90"/>
                </w:rPr>
                <w:t>Description of Evolution Petroleum Corporations, securities registered under Section 12 of the Exchange</w:t>
              </w:r>
            </w:hyperlink>
          </w:p>
        </w:tc>
        <w:tc>
          <w:tcPr>
            <w:tcW w:w="240" w:type="dxa"/>
            <w:vAlign w:val="bottom"/>
            <w:tcBorders>
              <w:bottom w:val="single" w:sz="8" w:color="CCEEFF"/>
            </w:tcBorders>
            <w:gridSpan w:val="7"/>
            <w:shd w:val="clear" w:color="auto" w:fill="CCEEFF"/>
          </w:tcPr>
          <w:p>
            <w:pPr>
              <w:spacing w:after="0"/>
              <w:rPr>
                <w:sz w:val="15"/>
                <w:szCs w:val="15"/>
                <w:color w:val="auto"/>
              </w:rPr>
            </w:pPr>
          </w:p>
        </w:tc>
      </w:tr>
      <w:tr>
        <w:trPr>
          <w:trHeight w:val="196"/>
        </w:trPr>
        <w:tc>
          <w:tcPr>
            <w:tcW w:w="820" w:type="dxa"/>
            <w:vAlign w:val="bottom"/>
            <w:shd w:val="clear" w:color="auto" w:fill="CCEEFF"/>
          </w:tcPr>
          <w:p>
            <w:pPr>
              <w:spacing w:after="0"/>
              <w:rPr>
                <w:sz w:val="17"/>
                <w:szCs w:val="17"/>
                <w:color w:val="auto"/>
              </w:rPr>
            </w:pPr>
          </w:p>
        </w:tc>
        <w:tc>
          <w:tcPr>
            <w:tcW w:w="480" w:type="dxa"/>
            <w:vAlign w:val="bottom"/>
            <w:tcBorders>
              <w:right w:val="single" w:sz="8" w:color="CCEEFF"/>
            </w:tcBorders>
            <w:shd w:val="clear" w:color="auto" w:fill="CCEEFF"/>
          </w:tcPr>
          <w:p>
            <w:pPr>
              <w:spacing w:after="0"/>
              <w:rPr>
                <w:sz w:val="17"/>
                <w:szCs w:val="17"/>
                <w:color w:val="auto"/>
              </w:rPr>
            </w:pPr>
          </w:p>
        </w:tc>
        <w:tc>
          <w:tcPr>
            <w:tcW w:w="7820" w:type="dxa"/>
            <w:vAlign w:val="bottom"/>
            <w:gridSpan w:val="32"/>
            <w:shd w:val="clear" w:color="auto" w:fill="CCEEFF"/>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Act (incorporated by reference to our Registration of Securities on Form 8-A filed July 13, 2006)</w:t>
              </w:r>
            </w:hyperlink>
          </w:p>
        </w:tc>
      </w:tr>
      <w:tr>
        <w:trPr>
          <w:trHeight w:val="48"/>
        </w:trPr>
        <w:tc>
          <w:tcPr>
            <w:tcW w:w="8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right w:val="single" w:sz="8" w:color="CCEEFF"/>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4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960" w:type="dxa"/>
            <w:vAlign w:val="bottom"/>
            <w:tcBorders>
              <w:top w:val="single" w:sz="8" w:color="0000EE"/>
            </w:tcBorders>
            <w:shd w:val="clear" w:color="auto" w:fill="CCEEFF"/>
          </w:tcPr>
          <w:p>
            <w:pPr>
              <w:spacing w:after="0"/>
              <w:rPr>
                <w:sz w:val="4"/>
                <w:szCs w:val="4"/>
                <w:color w:val="auto"/>
              </w:rPr>
            </w:pPr>
          </w:p>
        </w:tc>
        <w:tc>
          <w:tcPr>
            <w:tcW w:w="9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120" w:type="dxa"/>
            <w:vAlign w:val="bottom"/>
            <w:tcBorders>
              <w:top w:val="single" w:sz="8" w:color="CCEEFF"/>
              <w:lef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176"/>
        </w:trPr>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4.1.1</w:t>
            </w:r>
          </w:p>
        </w:tc>
        <w:tc>
          <w:tcPr>
            <w:tcW w:w="480" w:type="dxa"/>
            <w:vAlign w:val="bottom"/>
          </w:tcPr>
          <w:p>
            <w:pPr>
              <w:spacing w:after="0"/>
              <w:rPr>
                <w:sz w:val="15"/>
                <w:szCs w:val="15"/>
                <w:color w:val="auto"/>
              </w:rPr>
            </w:pPr>
          </w:p>
        </w:tc>
        <w:tc>
          <w:tcPr>
            <w:tcW w:w="7580" w:type="dxa"/>
            <w:vAlign w:val="bottom"/>
            <w:tcBorders>
              <w:bottom w:val="single" w:sz="8" w:color="0000EE"/>
            </w:tcBorders>
            <w:gridSpan w:val="25"/>
          </w:tcPr>
          <w:p>
            <w:pPr>
              <w:spacing w:after="0" w:line="176" w:lineRule="exact"/>
              <w:rPr>
                <w:rFonts w:ascii="Arial" w:cs="Arial" w:eastAsia="Arial" w:hAnsi="Arial"/>
                <w:sz w:val="18"/>
                <w:szCs w:val="18"/>
                <w:color w:val="0000EE"/>
                <w:w w:val="91"/>
              </w:rPr>
            </w:pPr>
            <w:hyperlink r:id="rId104">
              <w:r>
                <w:rPr>
                  <w:rFonts w:ascii="Arial" w:cs="Arial" w:eastAsia="Arial" w:hAnsi="Arial"/>
                  <w:sz w:val="18"/>
                  <w:szCs w:val="18"/>
                  <w:color w:val="0000EE"/>
                  <w:w w:val="91"/>
                </w:rPr>
                <w:t>Specimen form of the Company's Common Stock Certificate (incorporated by reference to Exhibit 4.7 of</w:t>
              </w:r>
            </w:hyperlink>
          </w:p>
        </w:tc>
        <w:tc>
          <w:tcPr>
            <w:tcW w:w="240" w:type="dxa"/>
            <w:vAlign w:val="bottom"/>
            <w:gridSpan w:val="7"/>
          </w:tcPr>
          <w:p>
            <w:pPr>
              <w:spacing w:after="0"/>
              <w:rPr>
                <w:sz w:val="15"/>
                <w:szCs w:val="15"/>
                <w:color w:val="auto"/>
              </w:rPr>
            </w:pPr>
          </w:p>
        </w:tc>
      </w:tr>
      <w:tr>
        <w:trPr>
          <w:trHeight w:val="196"/>
        </w:trPr>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20" w:type="dxa"/>
            <w:vAlign w:val="bottom"/>
            <w:gridSpan w:val="32"/>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our Registration Statement on Form S-3 filed June 19, 2013)</w:t>
              </w:r>
            </w:hyperlink>
          </w:p>
        </w:tc>
      </w:tr>
      <w:tr>
        <w:trPr>
          <w:trHeight w:val="48"/>
        </w:trPr>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9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176"/>
        </w:trPr>
        <w:tc>
          <w:tcPr>
            <w:tcW w:w="8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4.2</w:t>
            </w:r>
          </w:p>
        </w:tc>
        <w:tc>
          <w:tcPr>
            <w:tcW w:w="480" w:type="dxa"/>
            <w:vAlign w:val="bottom"/>
            <w:tcBorders>
              <w:bottom w:val="single" w:sz="8" w:color="CCEEFF"/>
              <w:right w:val="single" w:sz="8" w:color="CCEEFF"/>
            </w:tcBorders>
            <w:shd w:val="clear" w:color="auto" w:fill="CCEEFF"/>
          </w:tcPr>
          <w:p>
            <w:pPr>
              <w:spacing w:after="0"/>
              <w:rPr>
                <w:sz w:val="15"/>
                <w:szCs w:val="15"/>
                <w:color w:val="auto"/>
              </w:rPr>
            </w:pPr>
          </w:p>
        </w:tc>
        <w:tc>
          <w:tcPr>
            <w:tcW w:w="7560" w:type="dxa"/>
            <w:vAlign w:val="bottom"/>
            <w:tcBorders>
              <w:bottom w:val="single" w:sz="8" w:color="0000EE"/>
            </w:tcBorders>
            <w:gridSpan w:val="24"/>
            <w:shd w:val="clear" w:color="auto" w:fill="CCEEFF"/>
          </w:tcPr>
          <w:p>
            <w:pPr>
              <w:spacing w:after="0" w:line="176" w:lineRule="exact"/>
              <w:rPr>
                <w:rFonts w:ascii="Arial" w:cs="Arial" w:eastAsia="Arial" w:hAnsi="Arial"/>
                <w:sz w:val="18"/>
                <w:szCs w:val="18"/>
                <w:color w:val="0000EE"/>
                <w:w w:val="93"/>
              </w:rPr>
            </w:pPr>
            <w:hyperlink r:id="rId105">
              <w:r>
                <w:rPr>
                  <w:rFonts w:ascii="Arial" w:cs="Arial" w:eastAsia="Arial" w:hAnsi="Arial"/>
                  <w:sz w:val="18"/>
                  <w:szCs w:val="18"/>
                  <w:color w:val="0000EE"/>
                  <w:w w:val="93"/>
                </w:rPr>
                <w:t>Majority Voting Policy for Directors (incorporated by reference to Exhibit 99.1 of our Current Report on</w:t>
              </w:r>
            </w:hyperlink>
          </w:p>
        </w:tc>
        <w:tc>
          <w:tcPr>
            <w:tcW w:w="260" w:type="dxa"/>
            <w:vAlign w:val="bottom"/>
            <w:tcBorders>
              <w:bottom w:val="single" w:sz="8" w:color="CCEEFF"/>
            </w:tcBorders>
            <w:gridSpan w:val="8"/>
            <w:shd w:val="clear" w:color="auto" w:fill="CCEEFF"/>
          </w:tcPr>
          <w:p>
            <w:pPr>
              <w:spacing w:after="0"/>
              <w:rPr>
                <w:sz w:val="15"/>
                <w:szCs w:val="15"/>
                <w:color w:val="auto"/>
              </w:rPr>
            </w:pPr>
          </w:p>
        </w:tc>
      </w:tr>
      <w:tr>
        <w:trPr>
          <w:trHeight w:val="243"/>
        </w:trPr>
        <w:tc>
          <w:tcPr>
            <w:tcW w:w="8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right w:val="single" w:sz="8" w:color="CCEEFF"/>
            </w:tcBorders>
            <w:shd w:val="clear" w:color="auto" w:fill="CCEEFF"/>
          </w:tcPr>
          <w:p>
            <w:pPr>
              <w:spacing w:after="0"/>
              <w:rPr>
                <w:sz w:val="21"/>
                <w:szCs w:val="21"/>
                <w:color w:val="auto"/>
              </w:rPr>
            </w:pPr>
          </w:p>
        </w:tc>
        <w:tc>
          <w:tcPr>
            <w:tcW w:w="2460" w:type="dxa"/>
            <w:vAlign w:val="bottom"/>
            <w:tcBorders>
              <w:bottom w:val="single" w:sz="8" w:color="0000EE"/>
            </w:tcBorders>
            <w:gridSpan w:val="5"/>
            <w:shd w:val="clear" w:color="auto" w:fill="CCEEFF"/>
          </w:tcPr>
          <w:p>
            <w:pPr>
              <w:spacing w:after="0" w:line="196" w:lineRule="exact"/>
              <w:rPr>
                <w:rFonts w:ascii="Arial" w:cs="Arial" w:eastAsia="Arial" w:hAnsi="Arial"/>
                <w:sz w:val="18"/>
                <w:szCs w:val="18"/>
                <w:color w:val="0000EE"/>
                <w:w w:val="92"/>
              </w:rPr>
            </w:pPr>
            <w:hyperlink r:id="rId105">
              <w:r>
                <w:rPr>
                  <w:rFonts w:ascii="Arial" w:cs="Arial" w:eastAsia="Arial" w:hAnsi="Arial"/>
                  <w:sz w:val="18"/>
                  <w:szCs w:val="18"/>
                  <w:color w:val="0000EE"/>
                  <w:w w:val="92"/>
                </w:rPr>
                <w:t>Form 8-K filed October 31, 2012)</w:t>
              </w:r>
            </w:hyperlink>
          </w:p>
        </w:tc>
        <w:tc>
          <w:tcPr>
            <w:tcW w:w="5360" w:type="dxa"/>
            <w:vAlign w:val="bottom"/>
            <w:tcBorders>
              <w:bottom w:val="single" w:sz="8" w:color="CCEEFF"/>
            </w:tcBorders>
            <w:gridSpan w:val="27"/>
            <w:shd w:val="clear" w:color="auto" w:fill="CCEEFF"/>
          </w:tcPr>
          <w:p>
            <w:pPr>
              <w:spacing w:after="0"/>
              <w:rPr>
                <w:sz w:val="21"/>
                <w:szCs w:val="21"/>
                <w:color w:val="auto"/>
              </w:rPr>
            </w:pPr>
          </w:p>
        </w:tc>
      </w:tr>
      <w:tr>
        <w:trPr>
          <w:trHeight w:val="175"/>
        </w:trPr>
        <w:tc>
          <w:tcPr>
            <w:tcW w:w="1300" w:type="dxa"/>
            <w:vAlign w:val="bottom"/>
            <w:gridSpan w:val="2"/>
          </w:tcPr>
          <w:p>
            <w:pPr>
              <w:jc w:val="right"/>
              <w:ind w:right="520"/>
              <w:spacing w:after="0" w:line="176" w:lineRule="exact"/>
              <w:rPr>
                <w:sz w:val="20"/>
                <w:szCs w:val="20"/>
                <w:color w:val="auto"/>
              </w:rPr>
            </w:pPr>
            <w:r>
              <w:rPr>
                <w:rFonts w:ascii="Arial" w:cs="Arial" w:eastAsia="Arial" w:hAnsi="Arial"/>
                <w:sz w:val="18"/>
                <w:szCs w:val="18"/>
                <w:color w:val="auto"/>
              </w:rPr>
              <w:t>4.3</w:t>
            </w:r>
            <w:r>
              <w:rPr>
                <w:rFonts w:ascii="Arial" w:cs="Arial" w:eastAsia="Arial" w:hAnsi="Arial"/>
                <w:sz w:val="18"/>
                <w:szCs w:val="18"/>
                <w:i w:val="1"/>
                <w:iCs w:val="1"/>
                <w:color w:val="auto"/>
              </w:rPr>
              <w:t>†</w:t>
            </w:r>
          </w:p>
        </w:tc>
        <w:tc>
          <w:tcPr>
            <w:tcW w:w="7740" w:type="dxa"/>
            <w:vAlign w:val="bottom"/>
            <w:tcBorders>
              <w:bottom w:val="single" w:sz="8" w:color="0000EE"/>
            </w:tcBorders>
            <w:gridSpan w:val="31"/>
          </w:tcPr>
          <w:p>
            <w:pPr>
              <w:spacing w:after="0" w:line="176" w:lineRule="exact"/>
              <w:rPr>
                <w:rFonts w:ascii="Arial" w:cs="Arial" w:eastAsia="Arial" w:hAnsi="Arial"/>
                <w:sz w:val="18"/>
                <w:szCs w:val="18"/>
                <w:color w:val="0000EE"/>
                <w:w w:val="91"/>
              </w:rPr>
            </w:pPr>
            <w:hyperlink r:id="rId106">
              <w:r>
                <w:rPr>
                  <w:rFonts w:ascii="Arial" w:cs="Arial" w:eastAsia="Arial" w:hAnsi="Arial"/>
                  <w:sz w:val="18"/>
                  <w:szCs w:val="18"/>
                  <w:color w:val="0000EE"/>
                  <w:w w:val="91"/>
                </w:rPr>
                <w:t>2016 Equity Incentive Plan (incorporated by reference to Exhibit 10.1 of our Quarterly Report on Form 10-</w:t>
              </w:r>
            </w:hyperlink>
          </w:p>
        </w:tc>
        <w:tc>
          <w:tcPr>
            <w:tcW w:w="80" w:type="dxa"/>
            <w:vAlign w:val="bottom"/>
          </w:tcPr>
          <w:p>
            <w:pPr>
              <w:spacing w:after="0"/>
              <w:rPr>
                <w:sz w:val="15"/>
                <w:szCs w:val="15"/>
                <w:color w:val="auto"/>
              </w:rPr>
            </w:pPr>
          </w:p>
        </w:tc>
      </w:tr>
      <w:tr>
        <w:trPr>
          <w:trHeight w:val="196"/>
        </w:trPr>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20" w:type="dxa"/>
            <w:vAlign w:val="bottom"/>
            <w:gridSpan w:val="32"/>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Q filed February 8, 2017)</w:t>
              </w:r>
            </w:hyperlink>
          </w:p>
        </w:tc>
      </w:tr>
      <w:tr>
        <w:trPr>
          <w:trHeight w:val="48"/>
        </w:trPr>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2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9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175"/>
        </w:trPr>
        <w:tc>
          <w:tcPr>
            <w:tcW w:w="1300" w:type="dxa"/>
            <w:vAlign w:val="bottom"/>
            <w:tcBorders>
              <w:right w:val="single" w:sz="8" w:color="CCEEFF"/>
            </w:tcBorders>
            <w:gridSpan w:val="2"/>
            <w:shd w:val="clear" w:color="auto" w:fill="CCEEFF"/>
          </w:tcPr>
          <w:p>
            <w:pPr>
              <w:jc w:val="right"/>
              <w:ind w:right="520"/>
              <w:spacing w:after="0" w:line="176" w:lineRule="exact"/>
              <w:rPr>
                <w:sz w:val="20"/>
                <w:szCs w:val="20"/>
                <w:color w:val="auto"/>
              </w:rPr>
            </w:pPr>
            <w:r>
              <w:rPr>
                <w:rFonts w:ascii="Arial" w:cs="Arial" w:eastAsia="Arial" w:hAnsi="Arial"/>
                <w:sz w:val="18"/>
                <w:szCs w:val="18"/>
                <w:color w:val="auto"/>
              </w:rPr>
              <w:t>4.4</w:t>
            </w:r>
            <w:r>
              <w:rPr>
                <w:rFonts w:ascii="Arial" w:cs="Arial" w:eastAsia="Arial" w:hAnsi="Arial"/>
                <w:sz w:val="18"/>
                <w:szCs w:val="18"/>
                <w:i w:val="1"/>
                <w:iCs w:val="1"/>
                <w:color w:val="auto"/>
              </w:rPr>
              <w:t>†</w:t>
            </w:r>
          </w:p>
        </w:tc>
        <w:tc>
          <w:tcPr>
            <w:tcW w:w="7820" w:type="dxa"/>
            <w:vAlign w:val="bottom"/>
            <w:gridSpan w:val="32"/>
            <w:shd w:val="clear" w:color="auto" w:fill="CCEEFF"/>
          </w:tcPr>
          <w:p>
            <w:pPr>
              <w:spacing w:after="0" w:line="176" w:lineRule="exact"/>
              <w:rPr>
                <w:rFonts w:ascii="Arial" w:cs="Arial" w:eastAsia="Arial" w:hAnsi="Arial"/>
                <w:sz w:val="18"/>
                <w:szCs w:val="18"/>
                <w:color w:val="0000EE"/>
                <w:w w:val="97"/>
              </w:rPr>
            </w:pPr>
            <w:hyperlink r:id="rId107">
              <w:r>
                <w:rPr>
                  <w:rFonts w:ascii="Arial" w:cs="Arial" w:eastAsia="Arial" w:hAnsi="Arial"/>
                  <w:sz w:val="18"/>
                  <w:szCs w:val="18"/>
                  <w:color w:val="0000EE"/>
                  <w:w w:val="97"/>
                </w:rPr>
                <w:t>Form of Restricted Stock Agreement under 2016 Equity Incentive Plan (incorporated by reference to</w:t>
              </w:r>
            </w:hyperlink>
          </w:p>
        </w:tc>
      </w:tr>
      <w:tr>
        <w:trPr>
          <w:trHeight w:val="196"/>
        </w:trPr>
        <w:tc>
          <w:tcPr>
            <w:tcW w:w="8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right w:val="single" w:sz="8" w:color="CCEEFF"/>
            </w:tcBorders>
            <w:shd w:val="clear" w:color="auto" w:fill="CCEEFF"/>
          </w:tcPr>
          <w:p>
            <w:pPr>
              <w:spacing w:after="0"/>
              <w:rPr>
                <w:sz w:val="17"/>
                <w:szCs w:val="17"/>
                <w:color w:val="auto"/>
              </w:rPr>
            </w:pPr>
          </w:p>
        </w:tc>
        <w:tc>
          <w:tcPr>
            <w:tcW w:w="7260" w:type="dxa"/>
            <w:vAlign w:val="bottom"/>
            <w:tcBorders>
              <w:top w:val="single" w:sz="8" w:color="0000EE"/>
            </w:tcBorders>
            <w:gridSpan w:val="19"/>
            <w:shd w:val="clear" w:color="auto" w:fill="CCEEFF"/>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Exhibit 4.1 of our Quarterly Report on Form 10-Q filed February 8, 2018)</w:t>
              </w:r>
            </w:hyperlink>
          </w:p>
        </w:tc>
        <w:tc>
          <w:tcPr>
            <w:tcW w:w="560" w:type="dxa"/>
            <w:vAlign w:val="bottom"/>
            <w:tcBorders>
              <w:top w:val="single" w:sz="8" w:color="CCEEFF"/>
            </w:tcBorders>
            <w:gridSpan w:val="13"/>
            <w:shd w:val="clear" w:color="auto" w:fill="CCEEFF"/>
          </w:tcPr>
          <w:p>
            <w:pPr>
              <w:spacing w:after="0"/>
              <w:rPr>
                <w:sz w:val="17"/>
                <w:szCs w:val="17"/>
                <w:color w:val="auto"/>
              </w:rPr>
            </w:pPr>
          </w:p>
        </w:tc>
      </w:tr>
      <w:tr>
        <w:trPr>
          <w:trHeight w:val="48"/>
        </w:trPr>
        <w:tc>
          <w:tcPr>
            <w:tcW w:w="8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right w:val="single" w:sz="8" w:color="CCEEFF"/>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4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960" w:type="dxa"/>
            <w:vAlign w:val="bottom"/>
            <w:tcBorders>
              <w:top w:val="single" w:sz="8" w:color="0000EE"/>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120" w:type="dxa"/>
            <w:vAlign w:val="bottom"/>
            <w:tcBorders>
              <w:top w:val="single" w:sz="8" w:color="CCEEFF"/>
              <w:lef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176"/>
        </w:trPr>
        <w:tc>
          <w:tcPr>
            <w:tcW w:w="1300" w:type="dxa"/>
            <w:vAlign w:val="bottom"/>
            <w:gridSpan w:val="2"/>
          </w:tcPr>
          <w:p>
            <w:pPr>
              <w:jc w:val="right"/>
              <w:ind w:right="520"/>
              <w:spacing w:after="0" w:line="176" w:lineRule="exact"/>
              <w:rPr>
                <w:sz w:val="20"/>
                <w:szCs w:val="20"/>
                <w:color w:val="auto"/>
              </w:rPr>
            </w:pPr>
            <w:r>
              <w:rPr>
                <w:rFonts w:ascii="Arial" w:cs="Arial" w:eastAsia="Arial" w:hAnsi="Arial"/>
                <w:sz w:val="18"/>
                <w:szCs w:val="18"/>
                <w:color w:val="auto"/>
              </w:rPr>
              <w:t>4.4.1</w:t>
            </w:r>
            <w:r>
              <w:rPr>
                <w:rFonts w:ascii="Arial" w:cs="Arial" w:eastAsia="Arial" w:hAnsi="Arial"/>
                <w:sz w:val="18"/>
                <w:szCs w:val="18"/>
                <w:i w:val="1"/>
                <w:iCs w:val="1"/>
                <w:color w:val="auto"/>
              </w:rPr>
              <w:t>†</w:t>
            </w:r>
          </w:p>
        </w:tc>
        <w:tc>
          <w:tcPr>
            <w:tcW w:w="7820" w:type="dxa"/>
            <w:vAlign w:val="bottom"/>
            <w:gridSpan w:val="32"/>
          </w:tcPr>
          <w:p>
            <w:pPr>
              <w:spacing w:after="0" w:line="176" w:lineRule="exact"/>
              <w:rPr>
                <w:rFonts w:ascii="Arial" w:cs="Arial" w:eastAsia="Arial" w:hAnsi="Arial"/>
                <w:sz w:val="18"/>
                <w:szCs w:val="18"/>
                <w:color w:val="0000EE"/>
                <w:w w:val="99"/>
              </w:rPr>
            </w:pPr>
            <w:hyperlink r:id="rId108">
              <w:r>
                <w:rPr>
                  <w:rFonts w:ascii="Arial" w:cs="Arial" w:eastAsia="Arial" w:hAnsi="Arial"/>
                  <w:sz w:val="18"/>
                  <w:szCs w:val="18"/>
                  <w:color w:val="0000EE"/>
                  <w:w w:val="99"/>
                </w:rPr>
                <w:t>Form of Restricted Stock Agreement under 2016 Equity Incentive Plan as Revised on July 9, 2019</w:t>
              </w:r>
            </w:hyperlink>
          </w:p>
        </w:tc>
      </w:tr>
      <w:tr>
        <w:trPr>
          <w:trHeight w:val="20"/>
        </w:trPr>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6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20" w:type="dxa"/>
            <w:vAlign w:val="bottom"/>
            <w:gridSpan w:val="32"/>
          </w:tcPr>
          <w:p>
            <w:pPr>
              <w:spacing w:after="0" w:line="196" w:lineRule="exact"/>
              <w:rPr>
                <w:rFonts w:ascii="Arial" w:cs="Arial" w:eastAsia="Arial" w:hAnsi="Arial"/>
                <w:sz w:val="18"/>
                <w:szCs w:val="18"/>
                <w:color w:val="0000EE"/>
                <w:w w:val="94"/>
              </w:rPr>
            </w:pPr>
            <w:hyperlink r:id="rId108">
              <w:r>
                <w:rPr>
                  <w:rFonts w:ascii="Arial" w:cs="Arial" w:eastAsia="Arial" w:hAnsi="Arial"/>
                  <w:sz w:val="18"/>
                  <w:szCs w:val="18"/>
                  <w:color w:val="0000EE"/>
                  <w:w w:val="94"/>
                </w:rPr>
                <w:t>(incorporated by reference to Exhibit 4.12 of our Annual Report on Form 10-K filed September 13, 2019)</w:t>
              </w:r>
            </w:hyperlink>
          </w:p>
        </w:tc>
      </w:tr>
      <w:tr>
        <w:trPr>
          <w:trHeight w:val="48"/>
        </w:trPr>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960" w:type="dxa"/>
            <w:vAlign w:val="bottom"/>
            <w:tcBorders>
              <w:top w:val="single" w:sz="8" w:color="0000EE"/>
            </w:tcBorders>
          </w:tcPr>
          <w:p>
            <w:pPr>
              <w:spacing w:after="0"/>
              <w:rPr>
                <w:sz w:val="4"/>
                <w:szCs w:val="4"/>
                <w:color w:val="auto"/>
              </w:rPr>
            </w:pPr>
          </w:p>
        </w:tc>
        <w:tc>
          <w:tcPr>
            <w:tcW w:w="9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176"/>
        </w:trPr>
        <w:tc>
          <w:tcPr>
            <w:tcW w:w="1300" w:type="dxa"/>
            <w:vAlign w:val="bottom"/>
            <w:tcBorders>
              <w:right w:val="single" w:sz="8" w:color="CCEEFF"/>
            </w:tcBorders>
            <w:gridSpan w:val="2"/>
            <w:shd w:val="clear" w:color="auto" w:fill="CCEEFF"/>
          </w:tcPr>
          <w:p>
            <w:pPr>
              <w:jc w:val="right"/>
              <w:ind w:right="520"/>
              <w:spacing w:after="0" w:line="176" w:lineRule="exact"/>
              <w:rPr>
                <w:sz w:val="20"/>
                <w:szCs w:val="20"/>
                <w:color w:val="auto"/>
              </w:rPr>
            </w:pPr>
            <w:r>
              <w:rPr>
                <w:rFonts w:ascii="Arial" w:cs="Arial" w:eastAsia="Arial" w:hAnsi="Arial"/>
                <w:sz w:val="18"/>
                <w:szCs w:val="18"/>
                <w:color w:val="auto"/>
              </w:rPr>
              <w:t>4.4.2</w:t>
            </w:r>
            <w:r>
              <w:rPr>
                <w:rFonts w:ascii="Arial" w:cs="Arial" w:eastAsia="Arial" w:hAnsi="Arial"/>
                <w:sz w:val="18"/>
                <w:szCs w:val="18"/>
                <w:i w:val="1"/>
                <w:iCs w:val="1"/>
                <w:color w:val="auto"/>
              </w:rPr>
              <w:t>†*</w:t>
            </w:r>
          </w:p>
        </w:tc>
        <w:tc>
          <w:tcPr>
            <w:tcW w:w="7820" w:type="dxa"/>
            <w:vAlign w:val="bottom"/>
            <w:gridSpan w:val="32"/>
            <w:shd w:val="clear" w:color="auto" w:fill="CCEEFF"/>
          </w:tcPr>
          <w:p>
            <w:pPr>
              <w:spacing w:after="0" w:line="176" w:lineRule="exact"/>
              <w:rPr>
                <w:sz w:val="20"/>
                <w:szCs w:val="20"/>
                <w:color w:val="auto"/>
              </w:rPr>
            </w:pPr>
            <w:r>
              <w:rPr>
                <w:rFonts w:ascii="Arial" w:cs="Arial" w:eastAsia="Arial" w:hAnsi="Arial"/>
                <w:sz w:val="18"/>
                <w:szCs w:val="18"/>
                <w:color w:val="0000EE"/>
              </w:rPr>
              <w:t>Form of Restricted Stock Agreement under 2016 Incentive Plan as revised on May 4, 2023</w:t>
            </w:r>
          </w:p>
        </w:tc>
      </w:tr>
      <w:tr>
        <w:trPr>
          <w:trHeight w:val="47"/>
        </w:trPr>
        <w:tc>
          <w:tcPr>
            <w:tcW w:w="8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right w:val="single" w:sz="8" w:color="CCEEFF"/>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4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960" w:type="dxa"/>
            <w:vAlign w:val="bottom"/>
            <w:tcBorders>
              <w:top w:val="single" w:sz="8" w:color="0000EE"/>
            </w:tcBorders>
            <w:shd w:val="clear" w:color="auto" w:fill="CCEEFF"/>
          </w:tcPr>
          <w:p>
            <w:pPr>
              <w:spacing w:after="0"/>
              <w:rPr>
                <w:sz w:val="4"/>
                <w:szCs w:val="4"/>
                <w:color w:val="auto"/>
              </w:rPr>
            </w:pPr>
          </w:p>
        </w:tc>
        <w:tc>
          <w:tcPr>
            <w:tcW w:w="9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120" w:type="dxa"/>
            <w:vAlign w:val="bottom"/>
            <w:tcBorders>
              <w:top w:val="single" w:sz="8" w:color="CCEEFF"/>
              <w:lef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176"/>
        </w:trPr>
        <w:tc>
          <w:tcPr>
            <w:tcW w:w="1300" w:type="dxa"/>
            <w:vAlign w:val="bottom"/>
            <w:gridSpan w:val="2"/>
          </w:tcPr>
          <w:p>
            <w:pPr>
              <w:jc w:val="right"/>
              <w:ind w:right="520"/>
              <w:spacing w:after="0" w:line="176" w:lineRule="exact"/>
              <w:rPr>
                <w:sz w:val="20"/>
                <w:szCs w:val="20"/>
                <w:color w:val="auto"/>
              </w:rPr>
            </w:pPr>
            <w:r>
              <w:rPr>
                <w:rFonts w:ascii="Arial" w:cs="Arial" w:eastAsia="Arial" w:hAnsi="Arial"/>
                <w:sz w:val="18"/>
                <w:szCs w:val="18"/>
                <w:color w:val="auto"/>
              </w:rPr>
              <w:t>4.5</w:t>
            </w:r>
            <w:r>
              <w:rPr>
                <w:rFonts w:ascii="Arial" w:cs="Arial" w:eastAsia="Arial" w:hAnsi="Arial"/>
                <w:sz w:val="18"/>
                <w:szCs w:val="18"/>
                <w:i w:val="1"/>
                <w:iCs w:val="1"/>
                <w:color w:val="auto"/>
              </w:rPr>
              <w:t>†</w:t>
            </w:r>
          </w:p>
        </w:tc>
        <w:tc>
          <w:tcPr>
            <w:tcW w:w="7220" w:type="dxa"/>
            <w:vAlign w:val="bottom"/>
            <w:tcBorders>
              <w:bottom w:val="single" w:sz="8" w:color="0000EE"/>
            </w:tcBorders>
            <w:gridSpan w:val="18"/>
          </w:tcPr>
          <w:p>
            <w:pPr>
              <w:spacing w:after="0" w:line="176" w:lineRule="exact"/>
              <w:rPr>
                <w:rFonts w:ascii="Arial" w:cs="Arial" w:eastAsia="Arial" w:hAnsi="Arial"/>
                <w:sz w:val="18"/>
                <w:szCs w:val="18"/>
                <w:color w:val="0000EE"/>
                <w:w w:val="91"/>
              </w:rPr>
            </w:pPr>
            <w:hyperlink r:id="rId109">
              <w:r>
                <w:rPr>
                  <w:rFonts w:ascii="Arial" w:cs="Arial" w:eastAsia="Arial" w:hAnsi="Arial"/>
                  <w:sz w:val="18"/>
                  <w:szCs w:val="18"/>
                  <w:color w:val="0000EE"/>
                  <w:w w:val="91"/>
                </w:rPr>
                <w:t>Form of Contingent Restricted Stock Agreement under 2016 Equity Incentive Plan (incorporated by</w:t>
              </w:r>
            </w:hyperlink>
          </w:p>
        </w:tc>
        <w:tc>
          <w:tcPr>
            <w:tcW w:w="600" w:type="dxa"/>
            <w:vAlign w:val="bottom"/>
            <w:gridSpan w:val="14"/>
          </w:tcPr>
          <w:p>
            <w:pPr>
              <w:spacing w:after="0"/>
              <w:rPr>
                <w:sz w:val="15"/>
                <w:szCs w:val="15"/>
                <w:color w:val="auto"/>
              </w:rPr>
            </w:pPr>
          </w:p>
        </w:tc>
      </w:tr>
      <w:tr>
        <w:trPr>
          <w:trHeight w:val="196"/>
        </w:trPr>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20" w:type="dxa"/>
            <w:vAlign w:val="bottom"/>
            <w:gridSpan w:val="32"/>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reference to Exhibit 4.2 of our Quarterly Report on Form 10-Q filed February 8, 2018)</w:t>
              </w:r>
            </w:hyperlink>
          </w:p>
        </w:tc>
      </w:tr>
      <w:tr>
        <w:trPr>
          <w:trHeight w:val="48"/>
        </w:trPr>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960" w:type="dxa"/>
            <w:vAlign w:val="bottom"/>
            <w:tcBorders>
              <w:top w:val="single" w:sz="8" w:color="0000EE"/>
            </w:tcBorders>
          </w:tcPr>
          <w:p>
            <w:pPr>
              <w:spacing w:after="0"/>
              <w:rPr>
                <w:sz w:val="4"/>
                <w:szCs w:val="4"/>
                <w:color w:val="auto"/>
              </w:rPr>
            </w:pPr>
          </w:p>
        </w:tc>
        <w:tc>
          <w:tcPr>
            <w:tcW w:w="90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175"/>
        </w:trPr>
        <w:tc>
          <w:tcPr>
            <w:tcW w:w="1300" w:type="dxa"/>
            <w:vAlign w:val="bottom"/>
            <w:tcBorders>
              <w:bottom w:val="single" w:sz="8" w:color="CCEEFF"/>
              <w:right w:val="single" w:sz="8" w:color="CCEEFF"/>
            </w:tcBorders>
            <w:gridSpan w:val="2"/>
            <w:shd w:val="clear" w:color="auto" w:fill="CCEEFF"/>
          </w:tcPr>
          <w:p>
            <w:pPr>
              <w:jc w:val="right"/>
              <w:ind w:right="520"/>
              <w:spacing w:after="0" w:line="176" w:lineRule="exact"/>
              <w:rPr>
                <w:sz w:val="20"/>
                <w:szCs w:val="20"/>
                <w:color w:val="auto"/>
              </w:rPr>
            </w:pPr>
            <w:r>
              <w:rPr>
                <w:rFonts w:ascii="Arial" w:cs="Arial" w:eastAsia="Arial" w:hAnsi="Arial"/>
                <w:sz w:val="18"/>
                <w:szCs w:val="18"/>
                <w:color w:val="auto"/>
              </w:rPr>
              <w:t>4.5.1</w:t>
            </w:r>
            <w:r>
              <w:rPr>
                <w:rFonts w:ascii="Arial" w:cs="Arial" w:eastAsia="Arial" w:hAnsi="Arial"/>
                <w:sz w:val="18"/>
                <w:szCs w:val="18"/>
                <w:i w:val="1"/>
                <w:iCs w:val="1"/>
                <w:color w:val="auto"/>
              </w:rPr>
              <w:t>†*</w:t>
            </w:r>
          </w:p>
        </w:tc>
        <w:tc>
          <w:tcPr>
            <w:tcW w:w="7540" w:type="dxa"/>
            <w:vAlign w:val="bottom"/>
            <w:tcBorders>
              <w:bottom w:val="single" w:sz="8" w:color="0000EE"/>
              <w:right w:val="single" w:sz="8" w:color="CCEEFF"/>
            </w:tcBorders>
            <w:gridSpan w:val="23"/>
            <w:shd w:val="clear" w:color="auto" w:fill="CCEEFF"/>
          </w:tcPr>
          <w:p>
            <w:pPr>
              <w:spacing w:after="0" w:line="176" w:lineRule="exact"/>
              <w:rPr>
                <w:sz w:val="20"/>
                <w:szCs w:val="20"/>
                <w:color w:val="auto"/>
              </w:rPr>
            </w:pPr>
            <w:r>
              <w:rPr>
                <w:rFonts w:ascii="Arial" w:cs="Arial" w:eastAsia="Arial" w:hAnsi="Arial"/>
                <w:sz w:val="18"/>
                <w:szCs w:val="18"/>
                <w:color w:val="0000EE"/>
                <w:w w:val="91"/>
              </w:rPr>
              <w:t>Form of Contingent Restricted Stock Agreement under 2016 Equity Incentive Plan as revised on May 4,</w:t>
            </w:r>
          </w:p>
        </w:tc>
        <w:tc>
          <w:tcPr>
            <w:tcW w:w="280" w:type="dxa"/>
            <w:vAlign w:val="bottom"/>
            <w:tcBorders>
              <w:bottom w:val="single" w:sz="8" w:color="CCEEFF"/>
            </w:tcBorders>
            <w:gridSpan w:val="9"/>
            <w:shd w:val="clear" w:color="auto" w:fill="CCEEFF"/>
          </w:tcPr>
          <w:p>
            <w:pPr>
              <w:spacing w:after="0"/>
              <w:rPr>
                <w:sz w:val="15"/>
                <w:szCs w:val="15"/>
                <w:color w:val="auto"/>
              </w:rPr>
            </w:pPr>
          </w:p>
        </w:tc>
      </w:tr>
      <w:tr>
        <w:trPr>
          <w:trHeight w:val="244"/>
        </w:trPr>
        <w:tc>
          <w:tcPr>
            <w:tcW w:w="8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right w:val="single" w:sz="8" w:color="CCEEFF"/>
            </w:tcBorders>
            <w:shd w:val="clear" w:color="auto" w:fill="CCEEFF"/>
          </w:tcPr>
          <w:p>
            <w:pPr>
              <w:spacing w:after="0"/>
              <w:rPr>
                <w:sz w:val="21"/>
                <w:szCs w:val="21"/>
                <w:color w:val="auto"/>
              </w:rPr>
            </w:pPr>
          </w:p>
        </w:tc>
        <w:tc>
          <w:tcPr>
            <w:tcW w:w="360" w:type="dxa"/>
            <w:vAlign w:val="bottom"/>
            <w:tcBorders>
              <w:bottom w:val="single" w:sz="8" w:color="0000EE"/>
            </w:tcBorders>
            <w:shd w:val="clear" w:color="auto" w:fill="CCEEFF"/>
          </w:tcPr>
          <w:p>
            <w:pPr>
              <w:spacing w:after="0" w:line="196" w:lineRule="exact"/>
              <w:rPr>
                <w:sz w:val="20"/>
                <w:szCs w:val="20"/>
                <w:color w:val="auto"/>
              </w:rPr>
            </w:pPr>
            <w:r>
              <w:rPr>
                <w:rFonts w:ascii="Arial" w:cs="Arial" w:eastAsia="Arial" w:hAnsi="Arial"/>
                <w:sz w:val="18"/>
                <w:szCs w:val="18"/>
                <w:color w:val="0000EE"/>
                <w:w w:val="84"/>
              </w:rPr>
              <w:t>2023</w:t>
            </w:r>
          </w:p>
        </w:tc>
        <w:tc>
          <w:tcPr>
            <w:tcW w:w="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left w:val="single" w:sz="8" w:color="CCEEFF"/>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175"/>
        </w:trPr>
        <w:tc>
          <w:tcPr>
            <w:tcW w:w="1300" w:type="dxa"/>
            <w:vAlign w:val="bottom"/>
            <w:gridSpan w:val="2"/>
          </w:tcPr>
          <w:p>
            <w:pPr>
              <w:jc w:val="right"/>
              <w:ind w:right="520"/>
              <w:spacing w:after="0" w:line="176" w:lineRule="exact"/>
              <w:rPr>
                <w:sz w:val="20"/>
                <w:szCs w:val="20"/>
                <w:color w:val="auto"/>
              </w:rPr>
            </w:pPr>
            <w:r>
              <w:rPr>
                <w:rFonts w:ascii="Arial" w:cs="Arial" w:eastAsia="Arial" w:hAnsi="Arial"/>
                <w:sz w:val="18"/>
                <w:szCs w:val="18"/>
                <w:color w:val="auto"/>
              </w:rPr>
              <w:t>4.6</w:t>
            </w:r>
            <w:r>
              <w:rPr>
                <w:rFonts w:ascii="Arial" w:cs="Arial" w:eastAsia="Arial" w:hAnsi="Arial"/>
                <w:sz w:val="18"/>
                <w:szCs w:val="18"/>
                <w:i w:val="1"/>
                <w:iCs w:val="1"/>
                <w:color w:val="auto"/>
              </w:rPr>
              <w:t>†</w:t>
            </w:r>
          </w:p>
        </w:tc>
        <w:tc>
          <w:tcPr>
            <w:tcW w:w="7600" w:type="dxa"/>
            <w:vAlign w:val="bottom"/>
            <w:tcBorders>
              <w:bottom w:val="single" w:sz="8" w:color="0000EE"/>
            </w:tcBorders>
            <w:gridSpan w:val="26"/>
          </w:tcPr>
          <w:p>
            <w:pPr>
              <w:spacing w:after="0" w:line="176" w:lineRule="exact"/>
              <w:rPr>
                <w:rFonts w:ascii="Arial" w:cs="Arial" w:eastAsia="Arial" w:hAnsi="Arial"/>
                <w:sz w:val="18"/>
                <w:szCs w:val="18"/>
                <w:color w:val="0000EE"/>
                <w:w w:val="90"/>
              </w:rPr>
            </w:pPr>
            <w:hyperlink r:id="rId110">
              <w:r>
                <w:rPr>
                  <w:rFonts w:ascii="Arial" w:cs="Arial" w:eastAsia="Arial" w:hAnsi="Arial"/>
                  <w:sz w:val="18"/>
                  <w:szCs w:val="18"/>
                  <w:color w:val="0000EE"/>
                  <w:w w:val="90"/>
                </w:rPr>
                <w:t>Form of Performance Share Unit Award Agreement under 2016 Equity Incentive Plan as Revised on July</w:t>
              </w:r>
            </w:hyperlink>
          </w:p>
        </w:tc>
        <w:tc>
          <w:tcPr>
            <w:tcW w:w="220" w:type="dxa"/>
            <w:vAlign w:val="bottom"/>
            <w:gridSpan w:val="6"/>
          </w:tcPr>
          <w:p>
            <w:pPr>
              <w:spacing w:after="0"/>
              <w:rPr>
                <w:sz w:val="15"/>
                <w:szCs w:val="15"/>
                <w:color w:val="auto"/>
              </w:rPr>
            </w:pPr>
          </w:p>
        </w:tc>
      </w:tr>
      <w:tr>
        <w:trPr>
          <w:trHeight w:val="196"/>
        </w:trPr>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740" w:type="dxa"/>
            <w:vAlign w:val="bottom"/>
            <w:tcBorders>
              <w:bottom w:val="single" w:sz="8" w:color="0000EE"/>
            </w:tcBorders>
            <w:gridSpan w:val="31"/>
          </w:tcPr>
          <w:p>
            <w:pPr>
              <w:spacing w:after="0" w:line="196" w:lineRule="exact"/>
              <w:rPr>
                <w:rFonts w:ascii="Arial" w:cs="Arial" w:eastAsia="Arial" w:hAnsi="Arial"/>
                <w:sz w:val="18"/>
                <w:szCs w:val="18"/>
                <w:color w:val="0000EE"/>
                <w:w w:val="91"/>
              </w:rPr>
            </w:pPr>
            <w:hyperlink r:id="rId110">
              <w:r>
                <w:rPr>
                  <w:rFonts w:ascii="Arial" w:cs="Arial" w:eastAsia="Arial" w:hAnsi="Arial"/>
                  <w:sz w:val="18"/>
                  <w:szCs w:val="18"/>
                  <w:color w:val="0000EE"/>
                  <w:w w:val="91"/>
                </w:rPr>
                <w:t>9, 2019 (incorporated by reference to Exhibit 4.13 of our Annual Report on Form 10-K filed September 13,</w:t>
              </w:r>
            </w:hyperlink>
          </w:p>
        </w:tc>
        <w:tc>
          <w:tcPr>
            <w:tcW w:w="8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40" w:type="dxa"/>
            <w:vAlign w:val="bottom"/>
            <w:gridSpan w:val="3"/>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2019)</w:t>
              </w:r>
            </w:hyperlink>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8"/>
        </w:trPr>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9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176"/>
        </w:trPr>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10.1</w:t>
            </w:r>
          </w:p>
        </w:tc>
        <w:tc>
          <w:tcPr>
            <w:tcW w:w="480" w:type="dxa"/>
            <w:vAlign w:val="bottom"/>
            <w:tcBorders>
              <w:right w:val="single" w:sz="8" w:color="CCEEFF"/>
            </w:tcBorders>
            <w:shd w:val="clear" w:color="auto" w:fill="CCEEFF"/>
          </w:tcPr>
          <w:p>
            <w:pPr>
              <w:spacing w:after="0"/>
              <w:rPr>
                <w:sz w:val="15"/>
                <w:szCs w:val="15"/>
                <w:color w:val="auto"/>
              </w:rPr>
            </w:pPr>
          </w:p>
        </w:tc>
        <w:tc>
          <w:tcPr>
            <w:tcW w:w="7820" w:type="dxa"/>
            <w:vAlign w:val="bottom"/>
            <w:gridSpan w:val="32"/>
            <w:shd w:val="clear" w:color="auto" w:fill="CCEEFF"/>
          </w:tcPr>
          <w:p>
            <w:pPr>
              <w:spacing w:after="0" w:line="176" w:lineRule="exact"/>
              <w:rPr>
                <w:rFonts w:ascii="Arial" w:cs="Arial" w:eastAsia="Arial" w:hAnsi="Arial"/>
                <w:sz w:val="18"/>
                <w:szCs w:val="18"/>
                <w:color w:val="0000EE"/>
              </w:rPr>
            </w:pPr>
            <w:hyperlink r:id="rId111">
              <w:r>
                <w:rPr>
                  <w:rFonts w:ascii="Arial" w:cs="Arial" w:eastAsia="Arial" w:hAnsi="Arial"/>
                  <w:sz w:val="18"/>
                  <w:szCs w:val="18"/>
                  <w:color w:val="0000EE"/>
                </w:rPr>
                <w:t>Form of Indemnification Agreement for Officers and Directors, as adopted on September 20, 2006</w:t>
              </w:r>
            </w:hyperlink>
          </w:p>
        </w:tc>
      </w:tr>
      <w:tr>
        <w:trPr>
          <w:trHeight w:val="20"/>
        </w:trPr>
        <w:tc>
          <w:tcPr>
            <w:tcW w:w="820" w:type="dxa"/>
            <w:vAlign w:val="bottom"/>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CCEEFF"/>
          </w:tcPr>
          <w:p>
            <w:pPr>
              <w:spacing w:after="0" w:line="20" w:lineRule="exact"/>
              <w:rPr>
                <w:sz w:val="1"/>
                <w:szCs w:val="1"/>
                <w:color w:val="auto"/>
              </w:rPr>
            </w:pPr>
          </w:p>
        </w:tc>
        <w:tc>
          <w:tcPr>
            <w:tcW w:w="3280" w:type="dxa"/>
            <w:vAlign w:val="bottom"/>
            <w:gridSpan w:val="7"/>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80" w:type="dxa"/>
            <w:vAlign w:val="bottom"/>
            <w:tcBorders>
              <w:right w:val="single" w:sz="8" w:color="0000EE"/>
            </w:tcBorders>
            <w:gridSpan w:val="6"/>
            <w:shd w:val="clear" w:color="auto" w:fill="0000EE"/>
          </w:tcPr>
          <w:p>
            <w:pPr>
              <w:spacing w:after="0" w:line="20" w:lineRule="exact"/>
              <w:rPr>
                <w:sz w:val="1"/>
                <w:szCs w:val="1"/>
                <w:color w:val="auto"/>
              </w:rPr>
            </w:pPr>
          </w:p>
        </w:tc>
        <w:tc>
          <w:tcPr>
            <w:tcW w:w="200" w:type="dxa"/>
            <w:vAlign w:val="bottom"/>
            <w:tcBorders>
              <w:left w:val="single" w:sz="8" w:color="CCEEFF"/>
            </w:tcBorders>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r>
      <w:tr>
        <w:trPr>
          <w:trHeight w:val="243"/>
        </w:trPr>
        <w:tc>
          <w:tcPr>
            <w:tcW w:w="8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right w:val="single" w:sz="8" w:color="CCEEFF"/>
            </w:tcBorders>
            <w:shd w:val="clear" w:color="auto" w:fill="CCEEFF"/>
          </w:tcPr>
          <w:p>
            <w:pPr>
              <w:spacing w:after="0"/>
              <w:rPr>
                <w:sz w:val="21"/>
                <w:szCs w:val="21"/>
                <w:color w:val="auto"/>
              </w:rPr>
            </w:pPr>
          </w:p>
        </w:tc>
        <w:tc>
          <w:tcPr>
            <w:tcW w:w="7560" w:type="dxa"/>
            <w:vAlign w:val="bottom"/>
            <w:tcBorders>
              <w:bottom w:val="single" w:sz="8" w:color="0000EE"/>
            </w:tcBorders>
            <w:gridSpan w:val="24"/>
            <w:shd w:val="clear" w:color="auto" w:fill="CCEEFF"/>
          </w:tcPr>
          <w:p>
            <w:pPr>
              <w:spacing w:after="0" w:line="196" w:lineRule="exact"/>
              <w:rPr>
                <w:rFonts w:ascii="Arial" w:cs="Arial" w:eastAsia="Arial" w:hAnsi="Arial"/>
                <w:sz w:val="18"/>
                <w:szCs w:val="18"/>
                <w:color w:val="0000EE"/>
                <w:w w:val="91"/>
              </w:rPr>
            </w:pPr>
            <w:hyperlink r:id="rId111">
              <w:r>
                <w:rPr>
                  <w:rFonts w:ascii="Arial" w:cs="Arial" w:eastAsia="Arial" w:hAnsi="Arial"/>
                  <w:sz w:val="18"/>
                  <w:szCs w:val="18"/>
                  <w:color w:val="0000EE"/>
                  <w:w w:val="91"/>
                </w:rPr>
                <w:t>(incorporated by reference to Exhibit 10.1 of our Current Report on Form 8-K filed September 22, 2006)</w:t>
              </w:r>
            </w:hyperlink>
          </w:p>
        </w:tc>
        <w:tc>
          <w:tcPr>
            <w:tcW w:w="260" w:type="dxa"/>
            <w:vAlign w:val="bottom"/>
            <w:tcBorders>
              <w:bottom w:val="single" w:sz="8" w:color="CCEEFF"/>
            </w:tcBorders>
            <w:gridSpan w:val="8"/>
            <w:shd w:val="clear" w:color="auto" w:fill="CCEEFF"/>
          </w:tcPr>
          <w:p>
            <w:pPr>
              <w:spacing w:after="0"/>
              <w:rPr>
                <w:sz w:val="21"/>
                <w:szCs w:val="21"/>
                <w:color w:val="auto"/>
              </w:rPr>
            </w:pPr>
          </w:p>
        </w:tc>
      </w:tr>
      <w:tr>
        <w:trPr>
          <w:trHeight w:val="175"/>
        </w:trPr>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10.2</w:t>
            </w:r>
          </w:p>
        </w:tc>
        <w:tc>
          <w:tcPr>
            <w:tcW w:w="480" w:type="dxa"/>
            <w:vAlign w:val="bottom"/>
          </w:tcPr>
          <w:p>
            <w:pPr>
              <w:spacing w:after="0"/>
              <w:rPr>
                <w:sz w:val="15"/>
                <w:szCs w:val="15"/>
                <w:color w:val="auto"/>
              </w:rPr>
            </w:pPr>
          </w:p>
        </w:tc>
        <w:tc>
          <w:tcPr>
            <w:tcW w:w="7820" w:type="dxa"/>
            <w:vAlign w:val="bottom"/>
            <w:gridSpan w:val="32"/>
          </w:tcPr>
          <w:p>
            <w:pPr>
              <w:spacing w:after="0" w:line="176" w:lineRule="exact"/>
              <w:rPr>
                <w:rFonts w:ascii="Arial" w:cs="Arial" w:eastAsia="Arial" w:hAnsi="Arial"/>
                <w:sz w:val="18"/>
                <w:szCs w:val="18"/>
                <w:color w:val="0000EE"/>
                <w:w w:val="98"/>
              </w:rPr>
            </w:pPr>
            <w:hyperlink r:id="rId112">
              <w:r>
                <w:rPr>
                  <w:rFonts w:ascii="Arial" w:cs="Arial" w:eastAsia="Arial" w:hAnsi="Arial"/>
                  <w:sz w:val="18"/>
                  <w:szCs w:val="18"/>
                  <w:color w:val="0000EE"/>
                  <w:w w:val="98"/>
                </w:rPr>
                <w:t>Credit Agreement dated April 11, 2016 between Evolution Petroleum Corporation and MidFirst Bank</w:t>
              </w:r>
            </w:hyperlink>
          </w:p>
        </w:tc>
      </w:tr>
      <w:tr>
        <w:trPr>
          <w:trHeight w:val="196"/>
        </w:trPr>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320" w:type="dxa"/>
            <w:vAlign w:val="bottom"/>
            <w:tcBorders>
              <w:top w:val="single" w:sz="8" w:color="0000EE"/>
            </w:tcBorders>
            <w:gridSpan w:val="21"/>
          </w:tcPr>
          <w:p>
            <w:pPr>
              <w:spacing w:after="0" w:line="196" w:lineRule="exact"/>
              <w:rPr>
                <w:rFonts w:ascii="Arial" w:cs="Arial" w:eastAsia="Arial" w:hAnsi="Arial"/>
                <w:sz w:val="18"/>
                <w:szCs w:val="18"/>
                <w:color w:val="0000EE"/>
                <w:w w:val="94"/>
              </w:rPr>
            </w:pPr>
            <w:hyperlink r:id="rId112">
              <w:r>
                <w:rPr>
                  <w:rFonts w:ascii="Arial" w:cs="Arial" w:eastAsia="Arial" w:hAnsi="Arial"/>
                  <w:sz w:val="18"/>
                  <w:szCs w:val="18"/>
                  <w:color w:val="0000EE"/>
                  <w:w w:val="94"/>
                </w:rPr>
                <w:t>(incorporated by reference to Exhibit 10.1 of our Current Report on Form 8-K filed April 15, 2016)</w:t>
              </w:r>
            </w:hyperlink>
          </w:p>
        </w:tc>
        <w:tc>
          <w:tcPr>
            <w:tcW w:w="500" w:type="dxa"/>
            <w:vAlign w:val="bottom"/>
            <w:gridSpan w:val="11"/>
          </w:tcPr>
          <w:p>
            <w:pPr>
              <w:spacing w:after="0"/>
              <w:rPr>
                <w:sz w:val="17"/>
                <w:szCs w:val="17"/>
                <w:color w:val="auto"/>
              </w:rPr>
            </w:pPr>
          </w:p>
        </w:tc>
      </w:tr>
      <w:tr>
        <w:trPr>
          <w:trHeight w:val="48"/>
        </w:trPr>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960" w:type="dxa"/>
            <w:vAlign w:val="bottom"/>
            <w:tcBorders>
              <w:top w:val="single" w:sz="8" w:color="0000EE"/>
            </w:tcBorders>
          </w:tcPr>
          <w:p>
            <w:pPr>
              <w:spacing w:after="0"/>
              <w:rPr>
                <w:sz w:val="4"/>
                <w:szCs w:val="4"/>
                <w:color w:val="auto"/>
              </w:rPr>
            </w:pPr>
          </w:p>
        </w:tc>
        <w:tc>
          <w:tcPr>
            <w:tcW w:w="9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176"/>
        </w:trPr>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10.2.1</w:t>
            </w:r>
          </w:p>
        </w:tc>
        <w:tc>
          <w:tcPr>
            <w:tcW w:w="480" w:type="dxa"/>
            <w:vAlign w:val="bottom"/>
            <w:tcBorders>
              <w:right w:val="single" w:sz="8" w:color="CCEEFF"/>
            </w:tcBorders>
            <w:shd w:val="clear" w:color="auto" w:fill="CCEEFF"/>
          </w:tcPr>
          <w:p>
            <w:pPr>
              <w:spacing w:after="0"/>
              <w:rPr>
                <w:sz w:val="15"/>
                <w:szCs w:val="15"/>
                <w:color w:val="auto"/>
              </w:rPr>
            </w:pPr>
          </w:p>
        </w:tc>
        <w:tc>
          <w:tcPr>
            <w:tcW w:w="7820" w:type="dxa"/>
            <w:vAlign w:val="bottom"/>
            <w:gridSpan w:val="32"/>
            <w:shd w:val="clear" w:color="auto" w:fill="CCEEFF"/>
          </w:tcPr>
          <w:p>
            <w:pPr>
              <w:spacing w:after="0" w:line="176" w:lineRule="exact"/>
              <w:rPr>
                <w:rFonts w:ascii="Arial" w:cs="Arial" w:eastAsia="Arial" w:hAnsi="Arial"/>
                <w:sz w:val="18"/>
                <w:szCs w:val="18"/>
                <w:color w:val="0000EE"/>
                <w:w w:val="96"/>
              </w:rPr>
            </w:pPr>
            <w:hyperlink r:id="rId113">
              <w:r>
                <w:rPr>
                  <w:rFonts w:ascii="Arial" w:cs="Arial" w:eastAsia="Arial" w:hAnsi="Arial"/>
                  <w:sz w:val="18"/>
                  <w:szCs w:val="18"/>
                  <w:color w:val="0000EE"/>
                  <w:w w:val="96"/>
                </w:rPr>
                <w:t>First Amendment to Credit Agreement dated April 11, 2016, between Evolution Petroleum Corporation</w:t>
              </w:r>
            </w:hyperlink>
          </w:p>
        </w:tc>
      </w:tr>
      <w:tr>
        <w:trPr>
          <w:trHeight w:val="20"/>
        </w:trPr>
        <w:tc>
          <w:tcPr>
            <w:tcW w:w="820" w:type="dxa"/>
            <w:vAlign w:val="bottom"/>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CCEEFF"/>
          </w:tcPr>
          <w:p>
            <w:pPr>
              <w:spacing w:after="0" w:line="20" w:lineRule="exact"/>
              <w:rPr>
                <w:sz w:val="1"/>
                <w:szCs w:val="1"/>
                <w:color w:val="auto"/>
              </w:rPr>
            </w:pPr>
          </w:p>
        </w:tc>
        <w:tc>
          <w:tcPr>
            <w:tcW w:w="3280" w:type="dxa"/>
            <w:vAlign w:val="bottom"/>
            <w:gridSpan w:val="7"/>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80" w:type="dxa"/>
            <w:vAlign w:val="bottom"/>
            <w:tcBorders>
              <w:right w:val="single" w:sz="8" w:color="0000EE"/>
            </w:tcBorders>
            <w:gridSpan w:val="6"/>
            <w:shd w:val="clear" w:color="auto" w:fill="0000EE"/>
          </w:tcPr>
          <w:p>
            <w:pPr>
              <w:spacing w:after="0" w:line="20" w:lineRule="exact"/>
              <w:rPr>
                <w:sz w:val="1"/>
                <w:szCs w:val="1"/>
                <w:color w:val="auto"/>
              </w:rPr>
            </w:pPr>
          </w:p>
        </w:tc>
        <w:tc>
          <w:tcPr>
            <w:tcW w:w="20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right w:val="single" w:sz="8" w:color="CCEEFF"/>
            </w:tcBorders>
            <w:gridSpan w:val="3"/>
            <w:shd w:val="clear" w:color="auto" w:fill="0000EE"/>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r>
      <w:tr>
        <w:trPr>
          <w:trHeight w:val="196"/>
        </w:trPr>
        <w:tc>
          <w:tcPr>
            <w:tcW w:w="8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right w:val="single" w:sz="8" w:color="CCEEFF"/>
            </w:tcBorders>
            <w:shd w:val="clear" w:color="auto" w:fill="CCEEFF"/>
          </w:tcPr>
          <w:p>
            <w:pPr>
              <w:spacing w:after="0"/>
              <w:rPr>
                <w:sz w:val="17"/>
                <w:szCs w:val="17"/>
                <w:color w:val="auto"/>
              </w:rPr>
            </w:pPr>
          </w:p>
        </w:tc>
        <w:tc>
          <w:tcPr>
            <w:tcW w:w="7640" w:type="dxa"/>
            <w:vAlign w:val="bottom"/>
            <w:tcBorders>
              <w:bottom w:val="single" w:sz="8" w:color="0000EE"/>
            </w:tcBorders>
            <w:gridSpan w:val="28"/>
            <w:shd w:val="clear" w:color="auto" w:fill="CCEEFF"/>
          </w:tcPr>
          <w:p>
            <w:pPr>
              <w:spacing w:after="0" w:line="196" w:lineRule="exact"/>
              <w:rPr>
                <w:rFonts w:ascii="Arial" w:cs="Arial" w:eastAsia="Arial" w:hAnsi="Arial"/>
                <w:sz w:val="18"/>
                <w:szCs w:val="18"/>
                <w:color w:val="0000EE"/>
                <w:w w:val="92"/>
              </w:rPr>
            </w:pPr>
            <w:hyperlink r:id="rId113">
              <w:r>
                <w:rPr>
                  <w:rFonts w:ascii="Arial" w:cs="Arial" w:eastAsia="Arial" w:hAnsi="Arial"/>
                  <w:sz w:val="18"/>
                  <w:szCs w:val="18"/>
                  <w:color w:val="0000EE"/>
                  <w:w w:val="92"/>
                </w:rPr>
                <w:t>and MidFirst Bank effective October 18, 2016 (incorporated by reference to Exhibit 10.1 of our Quarterly</w:t>
              </w:r>
            </w:hyperlink>
          </w:p>
        </w:tc>
        <w:tc>
          <w:tcPr>
            <w:tcW w:w="180" w:type="dxa"/>
            <w:vAlign w:val="bottom"/>
            <w:tcBorders>
              <w:bottom w:val="single" w:sz="8" w:color="CCEEFF"/>
            </w:tcBorders>
            <w:gridSpan w:val="4"/>
            <w:shd w:val="clear" w:color="auto" w:fill="CCEEFF"/>
          </w:tcPr>
          <w:p>
            <w:pPr>
              <w:spacing w:after="0"/>
              <w:rPr>
                <w:sz w:val="17"/>
                <w:szCs w:val="17"/>
                <w:color w:val="auto"/>
              </w:rPr>
            </w:pPr>
          </w:p>
        </w:tc>
      </w:tr>
      <w:tr>
        <w:trPr>
          <w:trHeight w:val="243"/>
        </w:trPr>
        <w:tc>
          <w:tcPr>
            <w:tcW w:w="8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right w:val="single" w:sz="8" w:color="CCEEFF"/>
            </w:tcBorders>
            <w:shd w:val="clear" w:color="auto" w:fill="CCEEFF"/>
          </w:tcPr>
          <w:p>
            <w:pPr>
              <w:spacing w:after="0"/>
              <w:rPr>
                <w:sz w:val="21"/>
                <w:szCs w:val="21"/>
                <w:color w:val="auto"/>
              </w:rPr>
            </w:pPr>
          </w:p>
        </w:tc>
        <w:tc>
          <w:tcPr>
            <w:tcW w:w="3400" w:type="dxa"/>
            <w:vAlign w:val="bottom"/>
            <w:tcBorders>
              <w:bottom w:val="single" w:sz="8" w:color="0000EE"/>
            </w:tcBorders>
            <w:gridSpan w:val="8"/>
            <w:shd w:val="clear" w:color="auto" w:fill="CCEEFF"/>
          </w:tcPr>
          <w:p>
            <w:pPr>
              <w:spacing w:after="0" w:line="196" w:lineRule="exact"/>
              <w:rPr>
                <w:rFonts w:ascii="Arial" w:cs="Arial" w:eastAsia="Arial" w:hAnsi="Arial"/>
                <w:sz w:val="18"/>
                <w:szCs w:val="18"/>
                <w:color w:val="0000EE"/>
                <w:w w:val="91"/>
              </w:rPr>
            </w:pPr>
            <w:hyperlink r:id="rId113">
              <w:r>
                <w:rPr>
                  <w:rFonts w:ascii="Arial" w:cs="Arial" w:eastAsia="Arial" w:hAnsi="Arial"/>
                  <w:sz w:val="18"/>
                  <w:szCs w:val="18"/>
                  <w:color w:val="0000EE"/>
                  <w:w w:val="91"/>
                </w:rPr>
                <w:t>Report on Form 10-Q filed November 9, 2016)</w:t>
              </w:r>
            </w:hyperlink>
          </w:p>
        </w:tc>
        <w:tc>
          <w:tcPr>
            <w:tcW w:w="4420" w:type="dxa"/>
            <w:vAlign w:val="bottom"/>
            <w:tcBorders>
              <w:bottom w:val="single" w:sz="8" w:color="CCEEFF"/>
            </w:tcBorders>
            <w:gridSpan w:val="24"/>
            <w:shd w:val="clear" w:color="auto" w:fill="CCEEFF"/>
          </w:tcPr>
          <w:p>
            <w:pPr>
              <w:spacing w:after="0"/>
              <w:rPr>
                <w:sz w:val="21"/>
                <w:szCs w:val="21"/>
                <w:color w:val="auto"/>
              </w:rPr>
            </w:pPr>
          </w:p>
        </w:tc>
      </w:tr>
      <w:tr>
        <w:trPr>
          <w:trHeight w:val="175"/>
        </w:trPr>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10.2.2</w:t>
            </w:r>
          </w:p>
        </w:tc>
        <w:tc>
          <w:tcPr>
            <w:tcW w:w="480" w:type="dxa"/>
            <w:vAlign w:val="bottom"/>
          </w:tcPr>
          <w:p>
            <w:pPr>
              <w:spacing w:after="0"/>
              <w:rPr>
                <w:sz w:val="15"/>
                <w:szCs w:val="15"/>
                <w:color w:val="auto"/>
              </w:rPr>
            </w:pPr>
          </w:p>
        </w:tc>
        <w:tc>
          <w:tcPr>
            <w:tcW w:w="7820" w:type="dxa"/>
            <w:vAlign w:val="bottom"/>
            <w:gridSpan w:val="32"/>
          </w:tcPr>
          <w:p>
            <w:pPr>
              <w:spacing w:after="0" w:line="176" w:lineRule="exact"/>
              <w:rPr>
                <w:rFonts w:ascii="Arial" w:cs="Arial" w:eastAsia="Arial" w:hAnsi="Arial"/>
                <w:sz w:val="18"/>
                <w:szCs w:val="18"/>
                <w:color w:val="0000EE"/>
                <w:w w:val="93"/>
              </w:rPr>
            </w:pPr>
            <w:hyperlink r:id="rId114">
              <w:r>
                <w:rPr>
                  <w:rFonts w:ascii="Arial" w:cs="Arial" w:eastAsia="Arial" w:hAnsi="Arial"/>
                  <w:sz w:val="18"/>
                  <w:szCs w:val="18"/>
                  <w:color w:val="0000EE"/>
                  <w:w w:val="93"/>
                </w:rPr>
                <w:t>Second Amendment to Credit Agreement dated April 11, 2016, between Evolution Petroleum Corporation</w:t>
              </w:r>
            </w:hyperlink>
          </w:p>
        </w:tc>
      </w:tr>
      <w:tr>
        <w:trPr>
          <w:trHeight w:val="196"/>
        </w:trPr>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580" w:type="dxa"/>
            <w:vAlign w:val="bottom"/>
            <w:tcBorders>
              <w:top w:val="single" w:sz="8" w:color="0000EE"/>
              <w:bottom w:val="single" w:sz="8" w:color="0000EE"/>
            </w:tcBorders>
            <w:gridSpan w:val="25"/>
          </w:tcPr>
          <w:p>
            <w:pPr>
              <w:spacing w:after="0" w:line="196" w:lineRule="exact"/>
              <w:rPr>
                <w:rFonts w:ascii="Arial" w:cs="Arial" w:eastAsia="Arial" w:hAnsi="Arial"/>
                <w:sz w:val="18"/>
                <w:szCs w:val="18"/>
                <w:color w:val="0000EE"/>
                <w:w w:val="91"/>
              </w:rPr>
            </w:pPr>
            <w:hyperlink r:id="rId114">
              <w:r>
                <w:rPr>
                  <w:rFonts w:ascii="Arial" w:cs="Arial" w:eastAsia="Arial" w:hAnsi="Arial"/>
                  <w:sz w:val="18"/>
                  <w:szCs w:val="18"/>
                  <w:color w:val="0000EE"/>
                  <w:w w:val="91"/>
                </w:rPr>
                <w:t>and MidFirst Bank effective February 1, 2018 (incorporated by reference to exhibit 10.1 of our Quarterly</w:t>
              </w:r>
            </w:hyperlink>
          </w:p>
        </w:tc>
        <w:tc>
          <w:tcPr>
            <w:tcW w:w="80" w:type="dxa"/>
            <w:vAlign w:val="bottom"/>
            <w:tcBorders>
              <w:top w:val="single" w:sz="8" w:color="0000EE"/>
            </w:tcBorders>
            <w:gridSpan w:val="4"/>
          </w:tcPr>
          <w:p>
            <w:pPr>
              <w:spacing w:after="0"/>
              <w:rPr>
                <w:sz w:val="17"/>
                <w:szCs w:val="17"/>
                <w:color w:val="auto"/>
              </w:rPr>
            </w:pPr>
          </w:p>
        </w:tc>
        <w:tc>
          <w:tcPr>
            <w:tcW w:w="160" w:type="dxa"/>
            <w:vAlign w:val="bottom"/>
            <w:gridSpan w:val="3"/>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20" w:type="dxa"/>
            <w:vAlign w:val="bottom"/>
            <w:gridSpan w:val="32"/>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Report on Form 10-Q filed February 8, 2018)</w:t>
              </w:r>
            </w:hyperlink>
          </w:p>
        </w:tc>
      </w:tr>
      <w:tr>
        <w:trPr>
          <w:trHeight w:val="48"/>
        </w:trPr>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9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175"/>
        </w:trPr>
        <w:tc>
          <w:tcPr>
            <w:tcW w:w="8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10.2.3</w:t>
            </w:r>
          </w:p>
        </w:tc>
        <w:tc>
          <w:tcPr>
            <w:tcW w:w="480" w:type="dxa"/>
            <w:vAlign w:val="bottom"/>
            <w:tcBorders>
              <w:bottom w:val="single" w:sz="8" w:color="CCEEFF"/>
              <w:right w:val="single" w:sz="8" w:color="CCEEFF"/>
            </w:tcBorders>
            <w:shd w:val="clear" w:color="auto" w:fill="CCEEFF"/>
          </w:tcPr>
          <w:p>
            <w:pPr>
              <w:spacing w:after="0"/>
              <w:rPr>
                <w:sz w:val="15"/>
                <w:szCs w:val="15"/>
                <w:color w:val="auto"/>
              </w:rPr>
            </w:pPr>
          </w:p>
        </w:tc>
        <w:tc>
          <w:tcPr>
            <w:tcW w:w="7540" w:type="dxa"/>
            <w:vAlign w:val="bottom"/>
            <w:tcBorders>
              <w:bottom w:val="single" w:sz="8" w:color="0000EE"/>
              <w:right w:val="single" w:sz="8" w:color="CCEEFF"/>
            </w:tcBorders>
            <w:gridSpan w:val="23"/>
            <w:shd w:val="clear" w:color="auto" w:fill="CCEEFF"/>
          </w:tcPr>
          <w:p>
            <w:pPr>
              <w:spacing w:after="0" w:line="176"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Third Amendment to Credit Agreement dated April 11, 2016, between Evolution Petroleum Corporation</w:t>
              </w:r>
            </w:hyperlink>
          </w:p>
        </w:tc>
        <w:tc>
          <w:tcPr>
            <w:tcW w:w="280" w:type="dxa"/>
            <w:vAlign w:val="bottom"/>
            <w:tcBorders>
              <w:bottom w:val="single" w:sz="8" w:color="CCEEFF"/>
            </w:tcBorders>
            <w:gridSpan w:val="9"/>
            <w:shd w:val="clear" w:color="auto" w:fill="CCEEFF"/>
          </w:tcPr>
          <w:p>
            <w:pPr>
              <w:spacing w:after="0"/>
              <w:rPr>
                <w:sz w:val="15"/>
                <w:szCs w:val="15"/>
                <w:color w:val="auto"/>
              </w:rPr>
            </w:pPr>
          </w:p>
        </w:tc>
      </w:tr>
      <w:tr>
        <w:trPr>
          <w:trHeight w:val="196"/>
        </w:trPr>
        <w:tc>
          <w:tcPr>
            <w:tcW w:w="820" w:type="dxa"/>
            <w:vAlign w:val="bottom"/>
            <w:shd w:val="clear" w:color="auto" w:fill="CCEEFF"/>
          </w:tcPr>
          <w:p>
            <w:pPr>
              <w:spacing w:after="0"/>
              <w:rPr>
                <w:sz w:val="17"/>
                <w:szCs w:val="17"/>
                <w:color w:val="auto"/>
              </w:rPr>
            </w:pPr>
          </w:p>
        </w:tc>
        <w:tc>
          <w:tcPr>
            <w:tcW w:w="480" w:type="dxa"/>
            <w:vAlign w:val="bottom"/>
            <w:tcBorders>
              <w:right w:val="single" w:sz="8" w:color="CCEEFF"/>
            </w:tcBorders>
            <w:shd w:val="clear" w:color="auto" w:fill="CCEEFF"/>
          </w:tcPr>
          <w:p>
            <w:pPr>
              <w:spacing w:after="0"/>
              <w:rPr>
                <w:sz w:val="17"/>
                <w:szCs w:val="17"/>
                <w:color w:val="auto"/>
              </w:rPr>
            </w:pPr>
          </w:p>
        </w:tc>
        <w:tc>
          <w:tcPr>
            <w:tcW w:w="7820" w:type="dxa"/>
            <w:vAlign w:val="bottom"/>
            <w:gridSpan w:val="32"/>
            <w:shd w:val="clear" w:color="auto" w:fill="CCEEFF"/>
          </w:tcPr>
          <w:p>
            <w:pPr>
              <w:spacing w:after="0" w:line="196" w:lineRule="exact"/>
              <w:rPr>
                <w:rFonts w:ascii="Arial" w:cs="Arial" w:eastAsia="Arial" w:hAnsi="Arial"/>
                <w:sz w:val="18"/>
                <w:szCs w:val="18"/>
                <w:color w:val="0000EE"/>
                <w:w w:val="98"/>
              </w:rPr>
            </w:pPr>
            <w:hyperlink r:id="rId115">
              <w:r>
                <w:rPr>
                  <w:rFonts w:ascii="Arial" w:cs="Arial" w:eastAsia="Arial" w:hAnsi="Arial"/>
                  <w:sz w:val="18"/>
                  <w:szCs w:val="18"/>
                  <w:color w:val="0000EE"/>
                  <w:w w:val="98"/>
                </w:rPr>
                <w:t>and MidFirst Bank effective May 25, 2018 (incorporated by reference to Exhibit 10.10 of our Annual</w:t>
              </w:r>
            </w:hyperlink>
          </w:p>
        </w:tc>
      </w:tr>
      <w:tr>
        <w:trPr>
          <w:trHeight w:val="243"/>
        </w:trPr>
        <w:tc>
          <w:tcPr>
            <w:tcW w:w="8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3500" w:type="dxa"/>
            <w:vAlign w:val="bottom"/>
            <w:tcBorders>
              <w:top w:val="single" w:sz="8" w:color="0000EE"/>
              <w:bottom w:val="single" w:sz="8" w:color="0000EE"/>
            </w:tcBorders>
            <w:gridSpan w:val="10"/>
            <w:shd w:val="clear" w:color="auto" w:fill="CCEEFF"/>
          </w:tcPr>
          <w:p>
            <w:pPr>
              <w:spacing w:after="0" w:line="196"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Report on Form 10-K filed September 10, 2018)</w:t>
              </w:r>
            </w:hyperlink>
          </w:p>
        </w:tc>
        <w:tc>
          <w:tcPr>
            <w:tcW w:w="3800" w:type="dxa"/>
            <w:vAlign w:val="bottom"/>
            <w:tcBorders>
              <w:top w:val="single" w:sz="8" w:color="0000EE"/>
              <w:bottom w:val="single" w:sz="8" w:color="CCEEFF"/>
            </w:tcBorders>
            <w:gridSpan w:val="10"/>
            <w:shd w:val="clear" w:color="auto" w:fill="CCEEFF"/>
          </w:tcPr>
          <w:p>
            <w:pPr>
              <w:spacing w:after="0"/>
              <w:rPr>
                <w:sz w:val="21"/>
                <w:szCs w:val="21"/>
                <w:color w:val="auto"/>
              </w:rPr>
            </w:pPr>
          </w:p>
        </w:tc>
        <w:tc>
          <w:tcPr>
            <w:tcW w:w="520" w:type="dxa"/>
            <w:vAlign w:val="bottom"/>
            <w:tcBorders>
              <w:top w:val="single" w:sz="8" w:color="CCEEFF"/>
              <w:bottom w:val="single" w:sz="8" w:color="CCEEFF"/>
            </w:tcBorders>
            <w:gridSpan w:val="12"/>
            <w:shd w:val="clear" w:color="auto" w:fill="CCEEFF"/>
          </w:tcPr>
          <w:p>
            <w:pPr>
              <w:spacing w:after="0"/>
              <w:rPr>
                <w:sz w:val="21"/>
                <w:szCs w:val="21"/>
                <w:color w:val="auto"/>
              </w:rPr>
            </w:pPr>
          </w:p>
        </w:tc>
      </w:tr>
      <w:tr>
        <w:trPr>
          <w:trHeight w:val="175"/>
        </w:trPr>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10.2.4</w:t>
            </w:r>
          </w:p>
        </w:tc>
        <w:tc>
          <w:tcPr>
            <w:tcW w:w="480" w:type="dxa"/>
            <w:vAlign w:val="bottom"/>
          </w:tcPr>
          <w:p>
            <w:pPr>
              <w:spacing w:after="0"/>
              <w:rPr>
                <w:sz w:val="15"/>
                <w:szCs w:val="15"/>
                <w:color w:val="auto"/>
              </w:rPr>
            </w:pPr>
          </w:p>
        </w:tc>
        <w:tc>
          <w:tcPr>
            <w:tcW w:w="7620" w:type="dxa"/>
            <w:vAlign w:val="bottom"/>
            <w:tcBorders>
              <w:bottom w:val="single" w:sz="8" w:color="0000EE"/>
            </w:tcBorders>
            <w:gridSpan w:val="27"/>
          </w:tcPr>
          <w:p>
            <w:pPr>
              <w:spacing w:after="0" w:line="176" w:lineRule="exact"/>
              <w:rPr>
                <w:rFonts w:ascii="Arial" w:cs="Arial" w:eastAsia="Arial" w:hAnsi="Arial"/>
                <w:sz w:val="18"/>
                <w:szCs w:val="18"/>
                <w:color w:val="0000EE"/>
                <w:w w:val="91"/>
              </w:rPr>
            </w:pPr>
            <w:hyperlink r:id="rId116">
              <w:r>
                <w:rPr>
                  <w:rFonts w:ascii="Arial" w:cs="Arial" w:eastAsia="Arial" w:hAnsi="Arial"/>
                  <w:sz w:val="18"/>
                  <w:szCs w:val="18"/>
                  <w:color w:val="0000EE"/>
                  <w:w w:val="91"/>
                </w:rPr>
                <w:t>Fourth Amendment to Credit Agreement dated April 11, 2016, between Evolution Petroleum Corporation</w:t>
              </w:r>
            </w:hyperlink>
          </w:p>
        </w:tc>
        <w:tc>
          <w:tcPr>
            <w:tcW w:w="200" w:type="dxa"/>
            <w:vAlign w:val="bottom"/>
            <w:gridSpan w:val="5"/>
          </w:tcPr>
          <w:p>
            <w:pPr>
              <w:spacing w:after="0"/>
              <w:rPr>
                <w:sz w:val="15"/>
                <w:szCs w:val="15"/>
                <w:color w:val="auto"/>
              </w:rPr>
            </w:pPr>
          </w:p>
        </w:tc>
      </w:tr>
      <w:tr>
        <w:trPr>
          <w:trHeight w:val="196"/>
        </w:trPr>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20" w:type="dxa"/>
            <w:vAlign w:val="bottom"/>
            <w:gridSpan w:val="32"/>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and MidFirst Bank effective December 31, 2018 (incorporated by reference to Exhibit 10.1 of our</w:t>
              </w:r>
            </w:hyperlink>
          </w:p>
        </w:tc>
      </w:tr>
      <w:tr>
        <w:trPr>
          <w:trHeight w:val="196"/>
        </w:trPr>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1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Quarterly Report on Form 10-Q filed February 8, 2019)</w:t>
              </w:r>
            </w:hyperlink>
          </w:p>
        </w:tc>
        <w:tc>
          <w:tcPr>
            <w:tcW w:w="720" w:type="dxa"/>
            <w:vAlign w:val="bottom"/>
            <w:gridSpan w:val="15"/>
          </w:tcPr>
          <w:p>
            <w:pPr>
              <w:spacing w:after="0"/>
              <w:rPr>
                <w:sz w:val="17"/>
                <w:szCs w:val="17"/>
                <w:color w:val="auto"/>
              </w:rPr>
            </w:pPr>
          </w:p>
        </w:tc>
      </w:tr>
      <w:tr>
        <w:trPr>
          <w:trHeight w:val="48"/>
        </w:trPr>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c>
          <w:tcPr>
            <w:tcW w:w="9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175"/>
        </w:trPr>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10.2.5</w:t>
            </w:r>
          </w:p>
        </w:tc>
        <w:tc>
          <w:tcPr>
            <w:tcW w:w="480" w:type="dxa"/>
            <w:vAlign w:val="bottom"/>
            <w:tcBorders>
              <w:right w:val="single" w:sz="8" w:color="CCEEFF"/>
            </w:tcBorders>
            <w:shd w:val="clear" w:color="auto" w:fill="CCEEFF"/>
          </w:tcPr>
          <w:p>
            <w:pPr>
              <w:spacing w:after="0"/>
              <w:rPr>
                <w:sz w:val="15"/>
                <w:szCs w:val="15"/>
                <w:color w:val="auto"/>
              </w:rPr>
            </w:pPr>
          </w:p>
        </w:tc>
        <w:tc>
          <w:tcPr>
            <w:tcW w:w="7820" w:type="dxa"/>
            <w:vAlign w:val="bottom"/>
            <w:gridSpan w:val="32"/>
            <w:shd w:val="clear" w:color="auto" w:fill="CCEEFF"/>
          </w:tcPr>
          <w:p>
            <w:pPr>
              <w:spacing w:after="0" w:line="176" w:lineRule="exact"/>
              <w:rPr>
                <w:rFonts w:ascii="Arial" w:cs="Arial" w:eastAsia="Arial" w:hAnsi="Arial"/>
                <w:sz w:val="18"/>
                <w:szCs w:val="18"/>
                <w:color w:val="0000EE"/>
                <w:w w:val="96"/>
              </w:rPr>
            </w:pPr>
            <w:hyperlink r:id="rId117">
              <w:r>
                <w:rPr>
                  <w:rFonts w:ascii="Arial" w:cs="Arial" w:eastAsia="Arial" w:hAnsi="Arial"/>
                  <w:sz w:val="18"/>
                  <w:szCs w:val="18"/>
                  <w:color w:val="0000EE"/>
                  <w:w w:val="96"/>
                </w:rPr>
                <w:t>Fifth Amendment to Credit Agreement dated April 11, 2016, between Evolution Petroleum Corporation</w:t>
              </w:r>
            </w:hyperlink>
          </w:p>
        </w:tc>
      </w:tr>
      <w:tr>
        <w:trPr>
          <w:trHeight w:val="20"/>
        </w:trPr>
        <w:tc>
          <w:tcPr>
            <w:tcW w:w="820" w:type="dxa"/>
            <w:vAlign w:val="bottom"/>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CCEEFF"/>
          </w:tcPr>
          <w:p>
            <w:pPr>
              <w:spacing w:after="0" w:line="20" w:lineRule="exact"/>
              <w:rPr>
                <w:sz w:val="1"/>
                <w:szCs w:val="1"/>
                <w:color w:val="auto"/>
              </w:rPr>
            </w:pPr>
          </w:p>
        </w:tc>
        <w:tc>
          <w:tcPr>
            <w:tcW w:w="3420" w:type="dxa"/>
            <w:vAlign w:val="bottom"/>
            <w:gridSpan w:val="9"/>
            <w:shd w:val="clear" w:color="auto" w:fill="0000EE"/>
          </w:tcPr>
          <w:p>
            <w:pPr>
              <w:spacing w:after="0" w:line="20" w:lineRule="exact"/>
              <w:rPr>
                <w:sz w:val="1"/>
                <w:szCs w:val="1"/>
                <w:color w:val="auto"/>
              </w:rPr>
            </w:pPr>
          </w:p>
        </w:tc>
        <w:tc>
          <w:tcPr>
            <w:tcW w:w="4120" w:type="dxa"/>
            <w:vAlign w:val="bottom"/>
            <w:tcBorders>
              <w:right w:val="single" w:sz="8" w:color="0000EE"/>
            </w:tcBorders>
            <w:gridSpan w:val="14"/>
            <w:shd w:val="clear" w:color="auto" w:fill="0000EE"/>
          </w:tcPr>
          <w:p>
            <w:pPr>
              <w:spacing w:after="0" w:line="20" w:lineRule="exact"/>
              <w:rPr>
                <w:sz w:val="1"/>
                <w:szCs w:val="1"/>
                <w:color w:val="auto"/>
              </w:rPr>
            </w:pPr>
          </w:p>
        </w:tc>
        <w:tc>
          <w:tcPr>
            <w:tcW w:w="100" w:type="dxa"/>
            <w:vAlign w:val="bottom"/>
            <w:gridSpan w:val="5"/>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r>
      <w:tr>
        <w:trPr>
          <w:trHeight w:val="196"/>
        </w:trPr>
        <w:tc>
          <w:tcPr>
            <w:tcW w:w="8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right w:val="single" w:sz="8" w:color="CCEEFF"/>
            </w:tcBorders>
            <w:shd w:val="clear" w:color="auto" w:fill="CCEEFF"/>
          </w:tcPr>
          <w:p>
            <w:pPr>
              <w:spacing w:after="0"/>
              <w:rPr>
                <w:sz w:val="17"/>
                <w:szCs w:val="17"/>
                <w:color w:val="auto"/>
              </w:rPr>
            </w:pPr>
          </w:p>
        </w:tc>
        <w:tc>
          <w:tcPr>
            <w:tcW w:w="7720" w:type="dxa"/>
            <w:vAlign w:val="bottom"/>
            <w:tcBorders>
              <w:bottom w:val="single" w:sz="8" w:color="0000EE"/>
            </w:tcBorders>
            <w:gridSpan w:val="30"/>
            <w:shd w:val="clear" w:color="auto" w:fill="CCEEFF"/>
          </w:tcPr>
          <w:p>
            <w:pPr>
              <w:spacing w:after="0" w:line="196" w:lineRule="exact"/>
              <w:rPr>
                <w:rFonts w:ascii="Arial" w:cs="Arial" w:eastAsia="Arial" w:hAnsi="Arial"/>
                <w:sz w:val="18"/>
                <w:szCs w:val="18"/>
                <w:color w:val="0000EE"/>
                <w:w w:val="92"/>
              </w:rPr>
            </w:pPr>
            <w:hyperlink r:id="rId117">
              <w:r>
                <w:rPr>
                  <w:rFonts w:ascii="Arial" w:cs="Arial" w:eastAsia="Arial" w:hAnsi="Arial"/>
                  <w:sz w:val="18"/>
                  <w:szCs w:val="18"/>
                  <w:color w:val="0000EE"/>
                  <w:w w:val="92"/>
                </w:rPr>
                <w:t>and MidFirst Bank effective November 2, 2020 (incorporated by reference to Exhibit 10.1 of our Quarterly</w:t>
              </w:r>
            </w:hyperlink>
          </w:p>
        </w:tc>
        <w:tc>
          <w:tcPr>
            <w:tcW w:w="100" w:type="dxa"/>
            <w:vAlign w:val="bottom"/>
            <w:tcBorders>
              <w:bottom w:val="single" w:sz="8" w:color="CCEEFF"/>
            </w:tcBorders>
            <w:gridSpan w:val="2"/>
            <w:shd w:val="clear" w:color="auto" w:fill="CCEEFF"/>
          </w:tcPr>
          <w:p>
            <w:pPr>
              <w:spacing w:after="0"/>
              <w:rPr>
                <w:sz w:val="17"/>
                <w:szCs w:val="17"/>
                <w:color w:val="auto"/>
              </w:rPr>
            </w:pPr>
          </w:p>
        </w:tc>
      </w:tr>
      <w:tr>
        <w:trPr>
          <w:trHeight w:val="244"/>
        </w:trPr>
        <w:tc>
          <w:tcPr>
            <w:tcW w:w="8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right w:val="single" w:sz="8" w:color="CCEEFF"/>
            </w:tcBorders>
            <w:shd w:val="clear" w:color="auto" w:fill="CCEEFF"/>
          </w:tcPr>
          <w:p>
            <w:pPr>
              <w:spacing w:after="0"/>
              <w:rPr>
                <w:sz w:val="21"/>
                <w:szCs w:val="21"/>
                <w:color w:val="auto"/>
              </w:rPr>
            </w:pPr>
          </w:p>
        </w:tc>
        <w:tc>
          <w:tcPr>
            <w:tcW w:w="3400" w:type="dxa"/>
            <w:vAlign w:val="bottom"/>
            <w:tcBorders>
              <w:bottom w:val="single" w:sz="8" w:color="0000EE"/>
            </w:tcBorders>
            <w:gridSpan w:val="8"/>
            <w:shd w:val="clear" w:color="auto" w:fill="CCEEFF"/>
          </w:tcPr>
          <w:p>
            <w:pPr>
              <w:spacing w:after="0" w:line="196" w:lineRule="exact"/>
              <w:rPr>
                <w:rFonts w:ascii="Arial" w:cs="Arial" w:eastAsia="Arial" w:hAnsi="Arial"/>
                <w:sz w:val="18"/>
                <w:szCs w:val="18"/>
                <w:color w:val="0000EE"/>
                <w:w w:val="91"/>
              </w:rPr>
            </w:pPr>
            <w:hyperlink r:id="rId117">
              <w:r>
                <w:rPr>
                  <w:rFonts w:ascii="Arial" w:cs="Arial" w:eastAsia="Arial" w:hAnsi="Arial"/>
                  <w:sz w:val="18"/>
                  <w:szCs w:val="18"/>
                  <w:color w:val="0000EE"/>
                  <w:w w:val="91"/>
                </w:rPr>
                <w:t>Report on Form 10-Q filed November 9, 2020)</w:t>
              </w:r>
            </w:hyperlink>
          </w:p>
        </w:tc>
        <w:tc>
          <w:tcPr>
            <w:tcW w:w="4420" w:type="dxa"/>
            <w:vAlign w:val="bottom"/>
            <w:tcBorders>
              <w:bottom w:val="single" w:sz="8" w:color="CCEEFF"/>
            </w:tcBorders>
            <w:gridSpan w:val="24"/>
            <w:shd w:val="clear" w:color="auto" w:fill="CCEEFF"/>
          </w:tcPr>
          <w:p>
            <w:pPr>
              <w:spacing w:after="0"/>
              <w:rPr>
                <w:sz w:val="21"/>
                <w:szCs w:val="21"/>
                <w:color w:val="auto"/>
              </w:rPr>
            </w:pPr>
          </w:p>
        </w:tc>
      </w:tr>
      <w:tr>
        <w:trPr>
          <w:trHeight w:val="175"/>
        </w:trPr>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10.2.6</w:t>
            </w:r>
          </w:p>
        </w:tc>
        <w:tc>
          <w:tcPr>
            <w:tcW w:w="480" w:type="dxa"/>
            <w:vAlign w:val="bottom"/>
          </w:tcPr>
          <w:p>
            <w:pPr>
              <w:spacing w:after="0"/>
              <w:rPr>
                <w:sz w:val="15"/>
                <w:szCs w:val="15"/>
                <w:color w:val="auto"/>
              </w:rPr>
            </w:pPr>
          </w:p>
        </w:tc>
        <w:tc>
          <w:tcPr>
            <w:tcW w:w="7540" w:type="dxa"/>
            <w:vAlign w:val="bottom"/>
            <w:tcBorders>
              <w:bottom w:val="single" w:sz="8" w:color="0000EE"/>
            </w:tcBorders>
            <w:gridSpan w:val="23"/>
          </w:tcPr>
          <w:p>
            <w:pPr>
              <w:spacing w:after="0" w:line="176"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Sixth Amendment to Credit Agreement dated April 11, 2016, between Evolution Petroleum Corporation</w:t>
              </w:r>
            </w:hyperlink>
          </w:p>
        </w:tc>
        <w:tc>
          <w:tcPr>
            <w:tcW w:w="280" w:type="dxa"/>
            <w:vAlign w:val="bottom"/>
            <w:gridSpan w:val="9"/>
          </w:tcPr>
          <w:p>
            <w:pPr>
              <w:spacing w:after="0"/>
              <w:rPr>
                <w:sz w:val="15"/>
                <w:szCs w:val="15"/>
                <w:color w:val="auto"/>
              </w:rPr>
            </w:pPr>
          </w:p>
        </w:tc>
      </w:tr>
      <w:tr>
        <w:trPr>
          <w:trHeight w:val="196"/>
        </w:trPr>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20" w:type="dxa"/>
            <w:vAlign w:val="bottom"/>
            <w:gridSpan w:val="32"/>
          </w:tcPr>
          <w:p>
            <w:pPr>
              <w:spacing w:after="0" w:line="196" w:lineRule="exact"/>
              <w:rPr>
                <w:rFonts w:ascii="Arial" w:cs="Arial" w:eastAsia="Arial" w:hAnsi="Arial"/>
                <w:sz w:val="18"/>
                <w:szCs w:val="18"/>
                <w:color w:val="0000EE"/>
                <w:w w:val="93"/>
              </w:rPr>
            </w:pPr>
            <w:hyperlink r:id="rId118">
              <w:r>
                <w:rPr>
                  <w:rFonts w:ascii="Arial" w:cs="Arial" w:eastAsia="Arial" w:hAnsi="Arial"/>
                  <w:sz w:val="18"/>
                  <w:szCs w:val="18"/>
                  <w:color w:val="0000EE"/>
                  <w:w w:val="93"/>
                </w:rPr>
                <w:t>and MidFirst Bank effective December 28, 2020 (incorporated by reference to Exhibit 10.1 of our Current</w:t>
              </w:r>
            </w:hyperlink>
          </w:p>
        </w:tc>
      </w:tr>
      <w:tr>
        <w:trPr>
          <w:trHeight w:val="196"/>
        </w:trPr>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Report on Form 8-K filed on January 11, 2021)</w:t>
              </w:r>
            </w:hyperlink>
          </w:p>
        </w:tc>
        <w:tc>
          <w:tcPr>
            <w:tcW w:w="4220" w:type="dxa"/>
            <w:vAlign w:val="bottom"/>
            <w:tcBorders>
              <w:top w:val="single" w:sz="8" w:color="0000EE"/>
            </w:tcBorders>
            <w:gridSpan w:val="19"/>
          </w:tcPr>
          <w:p>
            <w:pPr>
              <w:spacing w:after="0"/>
              <w:rPr>
                <w:sz w:val="17"/>
                <w:szCs w:val="17"/>
                <w:color w:val="auto"/>
              </w:rPr>
            </w:pPr>
          </w:p>
        </w:tc>
        <w:tc>
          <w:tcPr>
            <w:tcW w:w="180" w:type="dxa"/>
            <w:vAlign w:val="bottom"/>
            <w:gridSpan w:val="4"/>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120"/>
          </w:cols>
          <w:pgMar w:left="1380" w:top="517" w:right="1399" w:bottom="1440" w:gutter="0" w:footer="0" w:header="0"/>
        </w:sect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372110</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type w:val="continuous"/>
        </w:sectPr>
      </w:pPr>
    </w:p>
    <w:bookmarkStart w:id="87" w:name="page88"/>
    <w:bookmarkEnd w:id="87"/>
    <w:p>
      <w:pPr>
        <w:ind w:left="12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EXHIBIT</w:t>
            </w: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20" w:type="dxa"/>
            <w:vAlign w:val="bottom"/>
            <w:gridSpan w:val="32"/>
          </w:tcPr>
          <w:p>
            <w:pPr>
              <w:ind w:left="580"/>
              <w:spacing w:after="0"/>
              <w:rPr>
                <w:sz w:val="20"/>
                <w:szCs w:val="20"/>
                <w:color w:val="auto"/>
              </w:rPr>
            </w:pPr>
            <w:r>
              <w:rPr>
                <w:rFonts w:ascii="Arial" w:cs="Arial" w:eastAsia="Arial" w:hAnsi="Arial"/>
                <w:sz w:val="14"/>
                <w:szCs w:val="14"/>
                <w:b w:val="1"/>
                <w:bCs w:val="1"/>
                <w:color w:val="auto"/>
              </w:rPr>
              <w:t>DESCRIPTION</w:t>
            </w:r>
          </w:p>
        </w:tc>
      </w:tr>
      <w:tr>
        <w:trPr>
          <w:trHeight w:val="192"/>
        </w:trPr>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NUMBER</w:t>
            </w:r>
          </w:p>
        </w:tc>
        <w:tc>
          <w:tcPr>
            <w:tcW w:w="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75"/>
        </w:trPr>
        <w:tc>
          <w:tcPr>
            <w:tcW w:w="820" w:type="dxa"/>
            <w:vAlign w:val="bottom"/>
            <w:tcBorders>
              <w:top w:val="single" w:sz="8" w:color="auto"/>
              <w:bottom w:val="single" w:sz="8" w:color="CCEEFF"/>
            </w:tcBorders>
            <w:shd w:val="clear" w:color="auto" w:fill="CCEEFF"/>
          </w:tcPr>
          <w:p>
            <w:pPr>
              <w:jc w:val="right"/>
              <w:spacing w:after="0" w:line="175" w:lineRule="exact"/>
              <w:rPr>
                <w:sz w:val="20"/>
                <w:szCs w:val="20"/>
                <w:color w:val="auto"/>
              </w:rPr>
            </w:pPr>
            <w:r>
              <w:rPr>
                <w:rFonts w:ascii="Arial" w:cs="Arial" w:eastAsia="Arial" w:hAnsi="Arial"/>
                <w:sz w:val="18"/>
                <w:szCs w:val="18"/>
                <w:color w:val="auto"/>
              </w:rPr>
              <w:t>10.2.7</w:t>
            </w:r>
          </w:p>
        </w:tc>
        <w:tc>
          <w:tcPr>
            <w:tcW w:w="48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6860" w:type="dxa"/>
            <w:vAlign w:val="bottom"/>
            <w:tcBorders>
              <w:top w:val="single" w:sz="8" w:color="auto"/>
              <w:bottom w:val="single" w:sz="8" w:color="0000EE"/>
            </w:tcBorders>
            <w:gridSpan w:val="18"/>
            <w:shd w:val="clear" w:color="auto" w:fill="CCEEFF"/>
          </w:tcPr>
          <w:p>
            <w:pPr>
              <w:spacing w:after="0" w:line="175" w:lineRule="exact"/>
              <w:rPr>
                <w:rFonts w:ascii="Arial" w:cs="Arial" w:eastAsia="Arial" w:hAnsi="Arial"/>
                <w:sz w:val="18"/>
                <w:szCs w:val="18"/>
                <w:color w:val="0000EE"/>
                <w:w w:val="90"/>
              </w:rPr>
            </w:pPr>
            <w:hyperlink r:id="rId120">
              <w:r>
                <w:rPr>
                  <w:rFonts w:ascii="Arial" w:cs="Arial" w:eastAsia="Arial" w:hAnsi="Arial"/>
                  <w:sz w:val="18"/>
                  <w:szCs w:val="18"/>
                  <w:color w:val="0000EE"/>
                  <w:w w:val="90"/>
                </w:rPr>
                <w:t>Seventh Amendment to Credit Agreement dated August 5, 2021, between Evolution Petroleum</w:t>
              </w:r>
            </w:hyperlink>
          </w:p>
        </w:tc>
        <w:tc>
          <w:tcPr>
            <w:tcW w:w="960" w:type="dxa"/>
            <w:vAlign w:val="bottom"/>
            <w:tcBorders>
              <w:top w:val="single" w:sz="8" w:color="auto"/>
              <w:bottom w:val="single" w:sz="8" w:color="CCEEFF"/>
            </w:tcBorders>
            <w:gridSpan w:val="20"/>
            <w:shd w:val="clear" w:color="auto" w:fill="CCEEFF"/>
          </w:tcPr>
          <w:p>
            <w:pPr>
              <w:spacing w:after="0"/>
              <w:rPr>
                <w:sz w:val="15"/>
                <w:szCs w:val="15"/>
                <w:color w:val="auto"/>
              </w:rPr>
            </w:pPr>
          </w:p>
        </w:tc>
      </w:tr>
      <w:tr>
        <w:trPr>
          <w:trHeight w:val="196"/>
        </w:trPr>
        <w:tc>
          <w:tcPr>
            <w:tcW w:w="8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right w:val="single" w:sz="8" w:color="CCEEFF"/>
            </w:tcBorders>
            <w:shd w:val="clear" w:color="auto" w:fill="CCEEFF"/>
          </w:tcPr>
          <w:p>
            <w:pPr>
              <w:spacing w:after="0"/>
              <w:rPr>
                <w:sz w:val="17"/>
                <w:szCs w:val="17"/>
                <w:color w:val="auto"/>
              </w:rPr>
            </w:pPr>
          </w:p>
        </w:tc>
        <w:tc>
          <w:tcPr>
            <w:tcW w:w="7560" w:type="dxa"/>
            <w:vAlign w:val="bottom"/>
            <w:tcBorders>
              <w:bottom w:val="single" w:sz="8" w:color="0000EE"/>
            </w:tcBorders>
            <w:gridSpan w:val="30"/>
            <w:shd w:val="clear" w:color="auto" w:fill="CCEEFF"/>
          </w:tcPr>
          <w:p>
            <w:pPr>
              <w:spacing w:after="0" w:line="196" w:lineRule="exact"/>
              <w:rPr>
                <w:rFonts w:ascii="Arial" w:cs="Arial" w:eastAsia="Arial" w:hAnsi="Arial"/>
                <w:sz w:val="18"/>
                <w:szCs w:val="18"/>
                <w:color w:val="0000EE"/>
                <w:w w:val="91"/>
              </w:rPr>
            </w:pPr>
            <w:hyperlink r:id="rId120">
              <w:r>
                <w:rPr>
                  <w:rFonts w:ascii="Arial" w:cs="Arial" w:eastAsia="Arial" w:hAnsi="Arial"/>
                  <w:sz w:val="18"/>
                  <w:szCs w:val="18"/>
                  <w:color w:val="0000EE"/>
                  <w:w w:val="91"/>
                </w:rPr>
                <w:t>Corporation and MidFirst Bank effective June 30, 2021 (incorporated by reference to Exhibit 10.8 of our</w:t>
              </w:r>
            </w:hyperlink>
          </w:p>
        </w:tc>
        <w:tc>
          <w:tcPr>
            <w:tcW w:w="260" w:type="dxa"/>
            <w:vAlign w:val="bottom"/>
            <w:tcBorders>
              <w:bottom w:val="single" w:sz="8" w:color="CCEEFF"/>
            </w:tcBorders>
            <w:gridSpan w:val="8"/>
            <w:shd w:val="clear" w:color="auto" w:fill="CCEEFF"/>
          </w:tcPr>
          <w:p>
            <w:pPr>
              <w:spacing w:after="0"/>
              <w:rPr>
                <w:sz w:val="17"/>
                <w:szCs w:val="17"/>
                <w:color w:val="auto"/>
              </w:rPr>
            </w:pPr>
          </w:p>
        </w:tc>
      </w:tr>
      <w:tr>
        <w:trPr>
          <w:trHeight w:val="196"/>
        </w:trPr>
        <w:tc>
          <w:tcPr>
            <w:tcW w:w="820" w:type="dxa"/>
            <w:vAlign w:val="bottom"/>
            <w:shd w:val="clear" w:color="auto" w:fill="CCEEFF"/>
          </w:tcPr>
          <w:p>
            <w:pPr>
              <w:spacing w:after="0"/>
              <w:rPr>
                <w:sz w:val="17"/>
                <w:szCs w:val="17"/>
                <w:color w:val="auto"/>
              </w:rPr>
            </w:pPr>
          </w:p>
        </w:tc>
        <w:tc>
          <w:tcPr>
            <w:tcW w:w="480" w:type="dxa"/>
            <w:vAlign w:val="bottom"/>
            <w:tcBorders>
              <w:right w:val="single" w:sz="8" w:color="CCEEFF"/>
            </w:tcBorders>
            <w:shd w:val="clear" w:color="auto" w:fill="CCEEFF"/>
          </w:tcPr>
          <w:p>
            <w:pPr>
              <w:spacing w:after="0"/>
              <w:rPr>
                <w:sz w:val="17"/>
                <w:szCs w:val="17"/>
                <w:color w:val="auto"/>
              </w:rPr>
            </w:pPr>
          </w:p>
        </w:tc>
        <w:tc>
          <w:tcPr>
            <w:tcW w:w="7820" w:type="dxa"/>
            <w:vAlign w:val="bottom"/>
            <w:gridSpan w:val="38"/>
            <w:shd w:val="clear" w:color="auto" w:fill="CCEEFF"/>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Quarterly Report on Form 10-Q filed May 12, 2022)</w:t>
              </w:r>
            </w:hyperlink>
          </w:p>
        </w:tc>
      </w:tr>
      <w:tr>
        <w:trPr>
          <w:trHeight w:val="48"/>
        </w:trPr>
        <w:tc>
          <w:tcPr>
            <w:tcW w:w="8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right w:val="single" w:sz="8" w:color="CCEEFF"/>
            </w:tcBorders>
            <w:shd w:val="clear" w:color="auto" w:fill="CCEEFF"/>
          </w:tcPr>
          <w:p>
            <w:pPr>
              <w:spacing w:after="0"/>
              <w:rPr>
                <w:sz w:val="4"/>
                <w:szCs w:val="4"/>
                <w:color w:val="auto"/>
              </w:rPr>
            </w:pPr>
          </w:p>
        </w:tc>
        <w:tc>
          <w:tcPr>
            <w:tcW w:w="70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175"/>
        </w:trPr>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10.2.8</w:t>
            </w:r>
          </w:p>
        </w:tc>
        <w:tc>
          <w:tcPr>
            <w:tcW w:w="480" w:type="dxa"/>
            <w:vAlign w:val="bottom"/>
          </w:tcPr>
          <w:p>
            <w:pPr>
              <w:spacing w:after="0"/>
              <w:rPr>
                <w:sz w:val="15"/>
                <w:szCs w:val="15"/>
                <w:color w:val="auto"/>
              </w:rPr>
            </w:pPr>
          </w:p>
        </w:tc>
        <w:tc>
          <w:tcPr>
            <w:tcW w:w="7000" w:type="dxa"/>
            <w:vAlign w:val="bottom"/>
            <w:tcBorders>
              <w:bottom w:val="single" w:sz="8" w:color="0000EE"/>
            </w:tcBorders>
            <w:gridSpan w:val="19"/>
          </w:tcPr>
          <w:p>
            <w:pPr>
              <w:spacing w:after="0" w:line="176" w:lineRule="exact"/>
              <w:rPr>
                <w:rFonts w:ascii="Arial" w:cs="Arial" w:eastAsia="Arial" w:hAnsi="Arial"/>
                <w:sz w:val="18"/>
                <w:szCs w:val="18"/>
                <w:color w:val="0000EE"/>
                <w:w w:val="91"/>
              </w:rPr>
            </w:pPr>
            <w:hyperlink r:id="rId121">
              <w:r>
                <w:rPr>
                  <w:rFonts w:ascii="Arial" w:cs="Arial" w:eastAsia="Arial" w:hAnsi="Arial"/>
                  <w:sz w:val="18"/>
                  <w:szCs w:val="18"/>
                  <w:color w:val="0000EE"/>
                  <w:w w:val="91"/>
                </w:rPr>
                <w:t>Eighth Amendment to Credit Agreement dated November 9, 2021, between Evolution Petroleum</w:t>
              </w:r>
            </w:hyperlink>
          </w:p>
        </w:tc>
        <w:tc>
          <w:tcPr>
            <w:tcW w:w="820" w:type="dxa"/>
            <w:vAlign w:val="bottom"/>
            <w:gridSpan w:val="19"/>
          </w:tcPr>
          <w:p>
            <w:pPr>
              <w:spacing w:after="0"/>
              <w:rPr>
                <w:sz w:val="15"/>
                <w:szCs w:val="15"/>
                <w:color w:val="auto"/>
              </w:rPr>
            </w:pPr>
          </w:p>
        </w:tc>
      </w:tr>
      <w:tr>
        <w:trPr>
          <w:trHeight w:val="196"/>
        </w:trPr>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20" w:type="dxa"/>
            <w:vAlign w:val="bottom"/>
            <w:tcBorders>
              <w:bottom w:val="single" w:sz="8" w:color="0000EE"/>
            </w:tcBorders>
            <w:gridSpan w:val="33"/>
          </w:tcPr>
          <w:p>
            <w:pPr>
              <w:spacing w:after="0" w:line="196" w:lineRule="exact"/>
              <w:rPr>
                <w:rFonts w:ascii="Arial" w:cs="Arial" w:eastAsia="Arial" w:hAnsi="Arial"/>
                <w:sz w:val="18"/>
                <w:szCs w:val="18"/>
                <w:color w:val="0000EE"/>
                <w:w w:val="92"/>
              </w:rPr>
            </w:pPr>
            <w:hyperlink r:id="rId121">
              <w:r>
                <w:rPr>
                  <w:rFonts w:ascii="Arial" w:cs="Arial" w:eastAsia="Arial" w:hAnsi="Arial"/>
                  <w:sz w:val="18"/>
                  <w:szCs w:val="18"/>
                  <w:color w:val="0000EE"/>
                  <w:w w:val="92"/>
                </w:rPr>
                <w:t>Corporation and MidFirst Bank effective November 9, 2021 (incorporated by reference to Exhibit 10.1 of</w:t>
              </w:r>
            </w:hyperlink>
          </w:p>
        </w:tc>
        <w:tc>
          <w:tcPr>
            <w:tcW w:w="200" w:type="dxa"/>
            <w:vAlign w:val="bottom"/>
            <w:gridSpan w:val="5"/>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20" w:type="dxa"/>
            <w:vAlign w:val="bottom"/>
            <w:gridSpan w:val="38"/>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our Quarterly Report on Form 10-Q filed November 10, 2021)</w:t>
              </w:r>
            </w:hyperlink>
          </w:p>
        </w:tc>
      </w:tr>
      <w:tr>
        <w:trPr>
          <w:trHeight w:val="48"/>
        </w:trPr>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70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76"/>
        </w:trPr>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10.2.9</w:t>
            </w:r>
          </w:p>
        </w:tc>
        <w:tc>
          <w:tcPr>
            <w:tcW w:w="480" w:type="dxa"/>
            <w:vAlign w:val="bottom"/>
            <w:tcBorders>
              <w:right w:val="single" w:sz="8" w:color="CCEEFF"/>
            </w:tcBorders>
            <w:shd w:val="clear" w:color="auto" w:fill="CCEEFF"/>
          </w:tcPr>
          <w:p>
            <w:pPr>
              <w:spacing w:after="0"/>
              <w:rPr>
                <w:sz w:val="15"/>
                <w:szCs w:val="15"/>
                <w:color w:val="auto"/>
              </w:rPr>
            </w:pPr>
          </w:p>
        </w:tc>
        <w:tc>
          <w:tcPr>
            <w:tcW w:w="7820" w:type="dxa"/>
            <w:vAlign w:val="bottom"/>
            <w:gridSpan w:val="38"/>
            <w:shd w:val="clear" w:color="auto" w:fill="CCEEFF"/>
          </w:tcPr>
          <w:p>
            <w:pPr>
              <w:spacing w:after="0" w:line="176" w:lineRule="exact"/>
              <w:rPr>
                <w:rFonts w:ascii="Arial" w:cs="Arial" w:eastAsia="Arial" w:hAnsi="Arial"/>
                <w:sz w:val="18"/>
                <w:szCs w:val="18"/>
                <w:color w:val="0000EE"/>
              </w:rPr>
            </w:pPr>
            <w:hyperlink r:id="rId122">
              <w:r>
                <w:rPr>
                  <w:rFonts w:ascii="Arial" w:cs="Arial" w:eastAsia="Arial" w:hAnsi="Arial"/>
                  <w:sz w:val="18"/>
                  <w:szCs w:val="18"/>
                  <w:color w:val="0000EE"/>
                </w:rPr>
                <w:t>Ninth Amendment to the Credit Agreement dated February 7, 2022, between Evolution Petroleum</w:t>
              </w:r>
            </w:hyperlink>
          </w:p>
        </w:tc>
      </w:tr>
      <w:tr>
        <w:trPr>
          <w:trHeight w:val="20"/>
        </w:trPr>
        <w:tc>
          <w:tcPr>
            <w:tcW w:w="820" w:type="dxa"/>
            <w:vAlign w:val="bottom"/>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580" w:type="dxa"/>
            <w:vAlign w:val="bottom"/>
            <w:tcBorders>
              <w:right w:val="single" w:sz="8" w:color="CCEEFF"/>
            </w:tcBorders>
            <w:gridSpan w:val="3"/>
            <w:shd w:val="clear" w:color="auto" w:fill="0000EE"/>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8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right w:val="single" w:sz="8" w:color="CCEEFF"/>
            </w:tcBorders>
            <w:shd w:val="clear" w:color="auto" w:fill="CCEEFF"/>
          </w:tcPr>
          <w:p>
            <w:pPr>
              <w:spacing w:after="0"/>
              <w:rPr>
                <w:sz w:val="17"/>
                <w:szCs w:val="17"/>
                <w:color w:val="auto"/>
              </w:rPr>
            </w:pPr>
          </w:p>
        </w:tc>
        <w:tc>
          <w:tcPr>
            <w:tcW w:w="7500" w:type="dxa"/>
            <w:vAlign w:val="bottom"/>
            <w:tcBorders>
              <w:bottom w:val="single" w:sz="8" w:color="0000EE"/>
            </w:tcBorders>
            <w:gridSpan w:val="28"/>
            <w:shd w:val="clear" w:color="auto" w:fill="CCEEFF"/>
          </w:tcPr>
          <w:p>
            <w:pPr>
              <w:spacing w:after="0" w:line="196" w:lineRule="exact"/>
              <w:rPr>
                <w:rFonts w:ascii="Arial" w:cs="Arial" w:eastAsia="Arial" w:hAnsi="Arial"/>
                <w:sz w:val="18"/>
                <w:szCs w:val="18"/>
                <w:color w:val="0000EE"/>
                <w:w w:val="91"/>
              </w:rPr>
            </w:pPr>
            <w:hyperlink r:id="rId122">
              <w:r>
                <w:rPr>
                  <w:rFonts w:ascii="Arial" w:cs="Arial" w:eastAsia="Arial" w:hAnsi="Arial"/>
                  <w:sz w:val="18"/>
                  <w:szCs w:val="18"/>
                  <w:color w:val="0000EE"/>
                  <w:w w:val="91"/>
                </w:rPr>
                <w:t>Corporation and MidFirst Bank effective February 4, 2022 (incorporated by reference to Exhibit 10.9 of</w:t>
              </w:r>
            </w:hyperlink>
          </w:p>
        </w:tc>
        <w:tc>
          <w:tcPr>
            <w:tcW w:w="320" w:type="dxa"/>
            <w:vAlign w:val="bottom"/>
            <w:tcBorders>
              <w:bottom w:val="single" w:sz="8" w:color="CCEEFF"/>
            </w:tcBorders>
            <w:gridSpan w:val="10"/>
            <w:shd w:val="clear" w:color="auto" w:fill="CCEEFF"/>
          </w:tcPr>
          <w:p>
            <w:pPr>
              <w:spacing w:after="0"/>
              <w:rPr>
                <w:sz w:val="17"/>
                <w:szCs w:val="17"/>
                <w:color w:val="auto"/>
              </w:rPr>
            </w:pPr>
          </w:p>
        </w:tc>
      </w:tr>
      <w:tr>
        <w:trPr>
          <w:trHeight w:val="243"/>
        </w:trPr>
        <w:tc>
          <w:tcPr>
            <w:tcW w:w="8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right w:val="single" w:sz="8" w:color="CCEEFF"/>
            </w:tcBorders>
            <w:shd w:val="clear" w:color="auto" w:fill="CCEEFF"/>
          </w:tcPr>
          <w:p>
            <w:pPr>
              <w:spacing w:after="0"/>
              <w:rPr>
                <w:sz w:val="21"/>
                <w:szCs w:val="21"/>
                <w:color w:val="auto"/>
              </w:rPr>
            </w:pPr>
          </w:p>
        </w:tc>
        <w:tc>
          <w:tcPr>
            <w:tcW w:w="4080" w:type="dxa"/>
            <w:vAlign w:val="bottom"/>
            <w:tcBorders>
              <w:bottom w:val="single" w:sz="8" w:color="0000EE"/>
            </w:tcBorders>
            <w:gridSpan w:val="11"/>
            <w:shd w:val="clear" w:color="auto" w:fill="CCEEFF"/>
          </w:tcPr>
          <w:p>
            <w:pPr>
              <w:spacing w:after="0" w:line="196" w:lineRule="exact"/>
              <w:rPr>
                <w:rFonts w:ascii="Arial" w:cs="Arial" w:eastAsia="Arial" w:hAnsi="Arial"/>
                <w:sz w:val="18"/>
                <w:szCs w:val="18"/>
                <w:color w:val="0000EE"/>
                <w:w w:val="92"/>
              </w:rPr>
            </w:pPr>
            <w:hyperlink r:id="rId122">
              <w:r>
                <w:rPr>
                  <w:rFonts w:ascii="Arial" w:cs="Arial" w:eastAsia="Arial" w:hAnsi="Arial"/>
                  <w:sz w:val="18"/>
                  <w:szCs w:val="18"/>
                  <w:color w:val="0000EE"/>
                  <w:w w:val="92"/>
                </w:rPr>
                <w:t>our Quarterly Report on Form 10-Q filed May 12, 2022)</w:t>
              </w:r>
            </w:hyperlink>
          </w:p>
        </w:tc>
        <w:tc>
          <w:tcPr>
            <w:tcW w:w="3740" w:type="dxa"/>
            <w:vAlign w:val="bottom"/>
            <w:tcBorders>
              <w:bottom w:val="single" w:sz="8" w:color="CCEEFF"/>
            </w:tcBorders>
            <w:gridSpan w:val="27"/>
            <w:shd w:val="clear" w:color="auto" w:fill="CCEEFF"/>
          </w:tcPr>
          <w:p>
            <w:pPr>
              <w:spacing w:after="0"/>
              <w:rPr>
                <w:sz w:val="21"/>
                <w:szCs w:val="21"/>
                <w:color w:val="auto"/>
              </w:rPr>
            </w:pPr>
          </w:p>
        </w:tc>
      </w:tr>
      <w:tr>
        <w:trPr>
          <w:trHeight w:val="176"/>
        </w:trPr>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10.2.10</w:t>
            </w:r>
          </w:p>
        </w:tc>
        <w:tc>
          <w:tcPr>
            <w:tcW w:w="480" w:type="dxa"/>
            <w:vAlign w:val="bottom"/>
          </w:tcPr>
          <w:p>
            <w:pPr>
              <w:spacing w:after="0"/>
              <w:rPr>
                <w:sz w:val="15"/>
                <w:szCs w:val="15"/>
                <w:color w:val="auto"/>
              </w:rPr>
            </w:pPr>
          </w:p>
        </w:tc>
        <w:tc>
          <w:tcPr>
            <w:tcW w:w="7680" w:type="dxa"/>
            <w:vAlign w:val="bottom"/>
            <w:tcBorders>
              <w:bottom w:val="single" w:sz="8" w:color="0000EE"/>
            </w:tcBorders>
            <w:gridSpan w:val="35"/>
          </w:tcPr>
          <w:p>
            <w:pPr>
              <w:spacing w:after="0" w:line="176" w:lineRule="exact"/>
              <w:rPr>
                <w:rFonts w:ascii="Arial" w:cs="Arial" w:eastAsia="Arial" w:hAnsi="Arial"/>
                <w:sz w:val="18"/>
                <w:szCs w:val="18"/>
                <w:color w:val="0000EE"/>
                <w:w w:val="91"/>
              </w:rPr>
            </w:pPr>
            <w:hyperlink r:id="rId123">
              <w:r>
                <w:rPr>
                  <w:rFonts w:ascii="Arial" w:cs="Arial" w:eastAsia="Arial" w:hAnsi="Arial"/>
                  <w:sz w:val="18"/>
                  <w:szCs w:val="18"/>
                  <w:color w:val="0000EE"/>
                  <w:w w:val="91"/>
                </w:rPr>
                <w:t>Tenth Amendment to the Credit Agreement dated May 5, 2023, between Evolution Petroleum Corporation</w:t>
              </w:r>
            </w:hyperlink>
          </w:p>
        </w:tc>
        <w:tc>
          <w:tcPr>
            <w:tcW w:w="140" w:type="dxa"/>
            <w:vAlign w:val="bottom"/>
            <w:gridSpan w:val="3"/>
          </w:tcPr>
          <w:p>
            <w:pPr>
              <w:spacing w:after="0"/>
              <w:rPr>
                <w:sz w:val="15"/>
                <w:szCs w:val="15"/>
                <w:color w:val="auto"/>
              </w:rPr>
            </w:pPr>
          </w:p>
        </w:tc>
      </w:tr>
      <w:tr>
        <w:trPr>
          <w:trHeight w:val="196"/>
        </w:trPr>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20" w:type="dxa"/>
            <w:vAlign w:val="bottom"/>
            <w:gridSpan w:val="38"/>
          </w:tcPr>
          <w:p>
            <w:pPr>
              <w:spacing w:after="0" w:line="196" w:lineRule="exact"/>
              <w:rPr>
                <w:rFonts w:ascii="Arial" w:cs="Arial" w:eastAsia="Arial" w:hAnsi="Arial"/>
                <w:sz w:val="18"/>
                <w:szCs w:val="18"/>
                <w:color w:val="0000EE"/>
                <w:w w:val="96"/>
              </w:rPr>
            </w:pPr>
            <w:hyperlink r:id="rId123">
              <w:r>
                <w:rPr>
                  <w:rFonts w:ascii="Arial" w:cs="Arial" w:eastAsia="Arial" w:hAnsi="Arial"/>
                  <w:sz w:val="18"/>
                  <w:szCs w:val="18"/>
                  <w:color w:val="0000EE"/>
                  <w:w w:val="96"/>
                </w:rPr>
                <w:t>and MidFirst Bank (incorporated by reference to Exhibit 10.2.10 of our Quarterly Report on Form 10-Q</w:t>
              </w:r>
            </w:hyperlink>
          </w:p>
        </w:tc>
      </w:tr>
      <w:tr>
        <w:trPr>
          <w:trHeight w:val="196"/>
        </w:trPr>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8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filed May 10, 2023)</w:t>
              </w:r>
            </w:hyperlink>
          </w:p>
        </w:tc>
        <w:tc>
          <w:tcPr>
            <w:tcW w:w="340" w:type="dxa"/>
            <w:vAlign w:val="bottom"/>
            <w:gridSpan w:val="11"/>
          </w:tcPr>
          <w:p>
            <w:pPr>
              <w:spacing w:after="0"/>
              <w:rPr>
                <w:sz w:val="17"/>
                <w:szCs w:val="17"/>
                <w:color w:val="auto"/>
              </w:rPr>
            </w:pPr>
          </w:p>
        </w:tc>
      </w:tr>
      <w:tr>
        <w:trPr>
          <w:trHeight w:val="48"/>
        </w:trPr>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76"/>
        </w:trPr>
        <w:tc>
          <w:tcPr>
            <w:tcW w:w="8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10.3</w:t>
            </w:r>
          </w:p>
        </w:tc>
        <w:tc>
          <w:tcPr>
            <w:tcW w:w="480" w:type="dxa"/>
            <w:vAlign w:val="bottom"/>
            <w:tcBorders>
              <w:bottom w:val="single" w:sz="8" w:color="CCEEFF"/>
              <w:right w:val="single" w:sz="8" w:color="CCEEFF"/>
            </w:tcBorders>
            <w:shd w:val="clear" w:color="auto" w:fill="CCEEFF"/>
          </w:tcPr>
          <w:p>
            <w:pPr>
              <w:spacing w:after="0"/>
              <w:rPr>
                <w:sz w:val="15"/>
                <w:szCs w:val="15"/>
                <w:color w:val="auto"/>
              </w:rPr>
            </w:pPr>
          </w:p>
        </w:tc>
        <w:tc>
          <w:tcPr>
            <w:tcW w:w="7520" w:type="dxa"/>
            <w:vAlign w:val="bottom"/>
            <w:tcBorders>
              <w:bottom w:val="single" w:sz="8" w:color="0000EE"/>
            </w:tcBorders>
            <w:gridSpan w:val="29"/>
            <w:shd w:val="clear" w:color="auto" w:fill="CCEEFF"/>
          </w:tcPr>
          <w:p>
            <w:pPr>
              <w:spacing w:after="0" w:line="176" w:lineRule="exact"/>
              <w:rPr>
                <w:rFonts w:ascii="Arial" w:cs="Arial" w:eastAsia="Arial" w:hAnsi="Arial"/>
                <w:sz w:val="18"/>
                <w:szCs w:val="18"/>
                <w:color w:val="0000EE"/>
                <w:w w:val="90"/>
              </w:rPr>
            </w:pPr>
            <w:hyperlink r:id="rId124">
              <w:r>
                <w:rPr>
                  <w:rFonts w:ascii="Arial" w:cs="Arial" w:eastAsia="Arial" w:hAnsi="Arial"/>
                  <w:sz w:val="18"/>
                  <w:szCs w:val="18"/>
                  <w:color w:val="0000EE"/>
                  <w:w w:val="90"/>
                </w:rPr>
                <w:t>Settlement Agreement, dated June 24, 2016, by and among Denbury Onshore, LLC, Denbury Inc., NGS</w:t>
              </w:r>
            </w:hyperlink>
          </w:p>
        </w:tc>
        <w:tc>
          <w:tcPr>
            <w:tcW w:w="300" w:type="dxa"/>
            <w:vAlign w:val="bottom"/>
            <w:tcBorders>
              <w:bottom w:val="single" w:sz="8" w:color="CCEEFF"/>
            </w:tcBorders>
            <w:gridSpan w:val="9"/>
            <w:shd w:val="clear" w:color="auto" w:fill="CCEEFF"/>
          </w:tcPr>
          <w:p>
            <w:pPr>
              <w:spacing w:after="0"/>
              <w:rPr>
                <w:sz w:val="15"/>
                <w:szCs w:val="15"/>
                <w:color w:val="auto"/>
              </w:rPr>
            </w:pPr>
          </w:p>
        </w:tc>
      </w:tr>
      <w:tr>
        <w:trPr>
          <w:trHeight w:val="196"/>
        </w:trPr>
        <w:tc>
          <w:tcPr>
            <w:tcW w:w="8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right w:val="single" w:sz="8" w:color="CCEEFF"/>
            </w:tcBorders>
            <w:shd w:val="clear" w:color="auto" w:fill="CCEEFF"/>
          </w:tcPr>
          <w:p>
            <w:pPr>
              <w:spacing w:after="0"/>
              <w:rPr>
                <w:sz w:val="17"/>
                <w:szCs w:val="17"/>
                <w:color w:val="auto"/>
              </w:rPr>
            </w:pPr>
          </w:p>
        </w:tc>
        <w:tc>
          <w:tcPr>
            <w:tcW w:w="7600" w:type="dxa"/>
            <w:vAlign w:val="bottom"/>
            <w:tcBorders>
              <w:bottom w:val="single" w:sz="8" w:color="0000EE"/>
            </w:tcBorders>
            <w:gridSpan w:val="32"/>
            <w:shd w:val="clear" w:color="auto" w:fill="CCEEFF"/>
          </w:tcPr>
          <w:p>
            <w:pPr>
              <w:spacing w:after="0" w:line="196" w:lineRule="exact"/>
              <w:rPr>
                <w:rFonts w:ascii="Arial" w:cs="Arial" w:eastAsia="Arial" w:hAnsi="Arial"/>
                <w:sz w:val="18"/>
                <w:szCs w:val="18"/>
                <w:color w:val="0000EE"/>
                <w:w w:val="90"/>
              </w:rPr>
            </w:pPr>
            <w:hyperlink r:id="rId124">
              <w:r>
                <w:rPr>
                  <w:rFonts w:ascii="Arial" w:cs="Arial" w:eastAsia="Arial" w:hAnsi="Arial"/>
                  <w:sz w:val="18"/>
                  <w:szCs w:val="18"/>
                  <w:color w:val="0000EE"/>
                  <w:w w:val="90"/>
                </w:rPr>
                <w:t>Sub Corp., Tertiaire Resources Company, and the Company (incorporated by reference to Exhibit 10.7 of</w:t>
              </w:r>
            </w:hyperlink>
          </w:p>
        </w:tc>
        <w:tc>
          <w:tcPr>
            <w:tcW w:w="220" w:type="dxa"/>
            <w:vAlign w:val="bottom"/>
            <w:tcBorders>
              <w:bottom w:val="single" w:sz="8" w:color="CCEEFF"/>
            </w:tcBorders>
            <w:gridSpan w:val="6"/>
            <w:shd w:val="clear" w:color="auto" w:fill="CCEEFF"/>
          </w:tcPr>
          <w:p>
            <w:pPr>
              <w:spacing w:after="0"/>
              <w:rPr>
                <w:sz w:val="17"/>
                <w:szCs w:val="17"/>
                <w:color w:val="auto"/>
              </w:rPr>
            </w:pPr>
          </w:p>
        </w:tc>
      </w:tr>
      <w:tr>
        <w:trPr>
          <w:trHeight w:val="196"/>
        </w:trPr>
        <w:tc>
          <w:tcPr>
            <w:tcW w:w="820" w:type="dxa"/>
            <w:vAlign w:val="bottom"/>
            <w:shd w:val="clear" w:color="auto" w:fill="CCEEFF"/>
          </w:tcPr>
          <w:p>
            <w:pPr>
              <w:spacing w:after="0"/>
              <w:rPr>
                <w:sz w:val="17"/>
                <w:szCs w:val="17"/>
                <w:color w:val="auto"/>
              </w:rPr>
            </w:pPr>
          </w:p>
        </w:tc>
        <w:tc>
          <w:tcPr>
            <w:tcW w:w="480" w:type="dxa"/>
            <w:vAlign w:val="bottom"/>
            <w:tcBorders>
              <w:right w:val="single" w:sz="8" w:color="CCEEFF"/>
            </w:tcBorders>
            <w:shd w:val="clear" w:color="auto" w:fill="CCEEFF"/>
          </w:tcPr>
          <w:p>
            <w:pPr>
              <w:spacing w:after="0"/>
              <w:rPr>
                <w:sz w:val="17"/>
                <w:szCs w:val="17"/>
                <w:color w:val="auto"/>
              </w:rPr>
            </w:pPr>
          </w:p>
        </w:tc>
        <w:tc>
          <w:tcPr>
            <w:tcW w:w="7820" w:type="dxa"/>
            <w:vAlign w:val="bottom"/>
            <w:gridSpan w:val="38"/>
            <w:shd w:val="clear" w:color="auto" w:fill="CCEEFF"/>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our Annual Report on Form 10-K filed September 9, 2016)</w:t>
              </w:r>
            </w:hyperlink>
          </w:p>
        </w:tc>
      </w:tr>
      <w:tr>
        <w:trPr>
          <w:trHeight w:val="48"/>
        </w:trPr>
        <w:tc>
          <w:tcPr>
            <w:tcW w:w="8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right w:val="single" w:sz="8" w:color="CCEEFF"/>
            </w:tcBorders>
            <w:shd w:val="clear" w:color="auto" w:fill="CCEEFF"/>
          </w:tcPr>
          <w:p>
            <w:pPr>
              <w:spacing w:after="0"/>
              <w:rPr>
                <w:sz w:val="4"/>
                <w:szCs w:val="4"/>
                <w:color w:val="auto"/>
              </w:rPr>
            </w:pPr>
          </w:p>
        </w:tc>
        <w:tc>
          <w:tcPr>
            <w:tcW w:w="70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176"/>
        </w:trPr>
        <w:tc>
          <w:tcPr>
            <w:tcW w:w="1300" w:type="dxa"/>
            <w:vAlign w:val="bottom"/>
            <w:gridSpan w:val="2"/>
          </w:tcPr>
          <w:p>
            <w:pPr>
              <w:jc w:val="right"/>
              <w:ind w:right="520"/>
              <w:spacing w:after="0" w:line="176" w:lineRule="exact"/>
              <w:rPr>
                <w:sz w:val="20"/>
                <w:szCs w:val="20"/>
                <w:color w:val="auto"/>
              </w:rPr>
            </w:pPr>
            <w:r>
              <w:rPr>
                <w:rFonts w:ascii="Arial" w:cs="Arial" w:eastAsia="Arial" w:hAnsi="Arial"/>
                <w:sz w:val="18"/>
                <w:szCs w:val="18"/>
                <w:color w:val="auto"/>
              </w:rPr>
              <w:t>10.5</w:t>
            </w:r>
            <w:r>
              <w:rPr>
                <w:rFonts w:ascii="Arial" w:cs="Arial" w:eastAsia="Arial" w:hAnsi="Arial"/>
                <w:sz w:val="18"/>
                <w:szCs w:val="18"/>
                <w:i w:val="1"/>
                <w:iCs w:val="1"/>
                <w:color w:val="auto"/>
              </w:rPr>
              <w:t>†</w:t>
            </w:r>
          </w:p>
        </w:tc>
        <w:tc>
          <w:tcPr>
            <w:tcW w:w="7600" w:type="dxa"/>
            <w:vAlign w:val="bottom"/>
            <w:tcBorders>
              <w:bottom w:val="single" w:sz="8" w:color="0000EE"/>
            </w:tcBorders>
            <w:gridSpan w:val="32"/>
          </w:tcPr>
          <w:p>
            <w:pPr>
              <w:spacing w:after="0" w:line="176" w:lineRule="exact"/>
              <w:rPr>
                <w:rFonts w:ascii="Arial" w:cs="Arial" w:eastAsia="Arial" w:hAnsi="Arial"/>
                <w:sz w:val="18"/>
                <w:szCs w:val="18"/>
                <w:color w:val="0000EE"/>
                <w:w w:val="90"/>
              </w:rPr>
            </w:pPr>
            <w:hyperlink r:id="rId125">
              <w:r>
                <w:rPr>
                  <w:rFonts w:ascii="Arial" w:cs="Arial" w:eastAsia="Arial" w:hAnsi="Arial"/>
                  <w:sz w:val="18"/>
                  <w:szCs w:val="18"/>
                  <w:color w:val="0000EE"/>
                  <w:w w:val="90"/>
                </w:rPr>
                <w:t>Employment Offer Letter to Ryan Stash dated October 9, 2020 (incorporated by reference to Exhibit 10.1</w:t>
              </w:r>
            </w:hyperlink>
          </w:p>
        </w:tc>
        <w:tc>
          <w:tcPr>
            <w:tcW w:w="220" w:type="dxa"/>
            <w:vAlign w:val="bottom"/>
            <w:gridSpan w:val="6"/>
          </w:tcPr>
          <w:p>
            <w:pPr>
              <w:spacing w:after="0"/>
              <w:rPr>
                <w:sz w:val="15"/>
                <w:szCs w:val="15"/>
                <w:color w:val="auto"/>
              </w:rPr>
            </w:pPr>
          </w:p>
        </w:tc>
      </w:tr>
      <w:tr>
        <w:trPr>
          <w:trHeight w:val="196"/>
        </w:trPr>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20" w:type="dxa"/>
            <w:vAlign w:val="bottom"/>
            <w:gridSpan w:val="38"/>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of our Annual Report on Form 10-K filed September 14, 2021)</w:t>
              </w:r>
            </w:hyperlink>
          </w:p>
        </w:tc>
      </w:tr>
      <w:tr>
        <w:trPr>
          <w:trHeight w:val="48"/>
        </w:trPr>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70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76"/>
        </w:trPr>
        <w:tc>
          <w:tcPr>
            <w:tcW w:w="8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10.6</w:t>
            </w:r>
          </w:p>
        </w:tc>
        <w:tc>
          <w:tcPr>
            <w:tcW w:w="480" w:type="dxa"/>
            <w:vAlign w:val="bottom"/>
            <w:tcBorders>
              <w:bottom w:val="single" w:sz="8" w:color="CCEEFF"/>
              <w:right w:val="single" w:sz="8" w:color="CCEEFF"/>
            </w:tcBorders>
            <w:shd w:val="clear" w:color="auto" w:fill="CCEEFF"/>
          </w:tcPr>
          <w:p>
            <w:pPr>
              <w:spacing w:after="0"/>
              <w:rPr>
                <w:sz w:val="15"/>
                <w:szCs w:val="15"/>
                <w:color w:val="auto"/>
              </w:rPr>
            </w:pPr>
          </w:p>
        </w:tc>
        <w:tc>
          <w:tcPr>
            <w:tcW w:w="7560" w:type="dxa"/>
            <w:vAlign w:val="bottom"/>
            <w:tcBorders>
              <w:bottom w:val="single" w:sz="8" w:color="0000EE"/>
            </w:tcBorders>
            <w:gridSpan w:val="30"/>
            <w:shd w:val="clear" w:color="auto" w:fill="CCEEFF"/>
          </w:tcPr>
          <w:p>
            <w:pPr>
              <w:spacing w:after="0" w:line="176" w:lineRule="exact"/>
              <w:rPr>
                <w:rFonts w:ascii="Arial" w:cs="Arial" w:eastAsia="Arial" w:hAnsi="Arial"/>
                <w:sz w:val="18"/>
                <w:szCs w:val="18"/>
                <w:color w:val="0000EE"/>
                <w:w w:val="89"/>
              </w:rPr>
            </w:pPr>
            <w:hyperlink r:id="rId126">
              <w:r>
                <w:rPr>
                  <w:rFonts w:ascii="Arial" w:cs="Arial" w:eastAsia="Arial" w:hAnsi="Arial"/>
                  <w:sz w:val="18"/>
                  <w:szCs w:val="18"/>
                  <w:color w:val="0000EE"/>
                  <w:w w:val="89"/>
                </w:rPr>
                <w:t>Purchase and Sale Agreement, dated March 29, 2021, between Evolution Petroleum Corporation and TG</w:t>
              </w:r>
            </w:hyperlink>
          </w:p>
        </w:tc>
        <w:tc>
          <w:tcPr>
            <w:tcW w:w="260" w:type="dxa"/>
            <w:vAlign w:val="bottom"/>
            <w:tcBorders>
              <w:bottom w:val="single" w:sz="8" w:color="CCEEFF"/>
            </w:tcBorders>
            <w:gridSpan w:val="8"/>
            <w:shd w:val="clear" w:color="auto" w:fill="CCEEFF"/>
          </w:tcPr>
          <w:p>
            <w:pPr>
              <w:spacing w:after="0"/>
              <w:rPr>
                <w:sz w:val="15"/>
                <w:szCs w:val="15"/>
                <w:color w:val="auto"/>
              </w:rPr>
            </w:pPr>
          </w:p>
        </w:tc>
      </w:tr>
      <w:tr>
        <w:trPr>
          <w:trHeight w:val="196"/>
        </w:trPr>
        <w:tc>
          <w:tcPr>
            <w:tcW w:w="820" w:type="dxa"/>
            <w:vAlign w:val="bottom"/>
            <w:shd w:val="clear" w:color="auto" w:fill="CCEEFF"/>
          </w:tcPr>
          <w:p>
            <w:pPr>
              <w:spacing w:after="0"/>
              <w:rPr>
                <w:sz w:val="17"/>
                <w:szCs w:val="17"/>
                <w:color w:val="auto"/>
              </w:rPr>
            </w:pPr>
          </w:p>
        </w:tc>
        <w:tc>
          <w:tcPr>
            <w:tcW w:w="480" w:type="dxa"/>
            <w:vAlign w:val="bottom"/>
            <w:tcBorders>
              <w:right w:val="single" w:sz="8" w:color="CCEEFF"/>
            </w:tcBorders>
            <w:shd w:val="clear" w:color="auto" w:fill="CCEEFF"/>
          </w:tcPr>
          <w:p>
            <w:pPr>
              <w:spacing w:after="0"/>
              <w:rPr>
                <w:sz w:val="17"/>
                <w:szCs w:val="17"/>
                <w:color w:val="auto"/>
              </w:rPr>
            </w:pPr>
          </w:p>
        </w:tc>
        <w:tc>
          <w:tcPr>
            <w:tcW w:w="7820" w:type="dxa"/>
            <w:vAlign w:val="bottom"/>
            <w:gridSpan w:val="38"/>
            <w:shd w:val="clear" w:color="auto" w:fill="CCEEFF"/>
          </w:tcPr>
          <w:p>
            <w:pPr>
              <w:spacing w:after="0" w:line="196" w:lineRule="exact"/>
              <w:rPr>
                <w:rFonts w:ascii="Arial" w:cs="Arial" w:eastAsia="Arial" w:hAnsi="Arial"/>
                <w:sz w:val="18"/>
                <w:szCs w:val="18"/>
                <w:color w:val="0000EE"/>
                <w:w w:val="92"/>
              </w:rPr>
            </w:pPr>
            <w:hyperlink r:id="rId126">
              <w:r>
                <w:rPr>
                  <w:rFonts w:ascii="Arial" w:cs="Arial" w:eastAsia="Arial" w:hAnsi="Arial"/>
                  <w:sz w:val="18"/>
                  <w:szCs w:val="18"/>
                  <w:color w:val="0000EE"/>
                  <w:w w:val="92"/>
                </w:rPr>
                <w:t>Barnett Resources LLP (incorporated by reference to Exhibit 10.1 of our Current Report on Form 8-K filed</w:t>
              </w:r>
            </w:hyperlink>
          </w:p>
        </w:tc>
      </w:tr>
      <w:tr>
        <w:trPr>
          <w:trHeight w:val="196"/>
        </w:trPr>
        <w:tc>
          <w:tcPr>
            <w:tcW w:w="8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right w:val="single" w:sz="8" w:color="CCEEFF"/>
            </w:tcBorders>
            <w:shd w:val="clear" w:color="auto" w:fill="CCEEFF"/>
          </w:tcPr>
          <w:p>
            <w:pPr>
              <w:spacing w:after="0"/>
              <w:rPr>
                <w:sz w:val="17"/>
                <w:szCs w:val="17"/>
                <w:color w:val="auto"/>
              </w:rPr>
            </w:pPr>
          </w:p>
        </w:tc>
        <w:tc>
          <w:tcPr>
            <w:tcW w:w="7720" w:type="dxa"/>
            <w:vAlign w:val="bottom"/>
            <w:tcBorders>
              <w:top w:val="single" w:sz="8" w:color="0000EE"/>
            </w:tcBorders>
            <w:gridSpan w:val="37"/>
            <w:shd w:val="clear" w:color="auto" w:fill="CCEEFF"/>
          </w:tcPr>
          <w:p>
            <w:pPr>
              <w:spacing w:after="0" w:line="196" w:lineRule="exact"/>
              <w:rPr>
                <w:rFonts w:ascii="Arial" w:cs="Arial" w:eastAsia="Arial" w:hAnsi="Arial"/>
                <w:sz w:val="18"/>
                <w:szCs w:val="18"/>
                <w:color w:val="0000EE"/>
              </w:rPr>
            </w:pPr>
            <w:hyperlink r:id="rId126">
              <w:r>
                <w:rPr>
                  <w:rFonts w:ascii="Arial" w:cs="Arial" w:eastAsia="Arial" w:hAnsi="Arial"/>
                  <w:sz w:val="18"/>
                  <w:szCs w:val="18"/>
                  <w:color w:val="0000EE"/>
                </w:rPr>
                <w:t>on May 11, 2021)</w:t>
              </w:r>
            </w:hyperlink>
          </w:p>
        </w:tc>
        <w:tc>
          <w:tcPr>
            <w:tcW w:w="100" w:type="dxa"/>
            <w:vAlign w:val="bottom"/>
            <w:tcBorders>
              <w:top w:val="single" w:sz="8" w:color="CCEEFF"/>
            </w:tcBorders>
            <w:shd w:val="clear" w:color="auto" w:fill="CCEEFF"/>
          </w:tcPr>
          <w:p>
            <w:pPr>
              <w:spacing w:after="0"/>
              <w:rPr>
                <w:sz w:val="17"/>
                <w:szCs w:val="17"/>
                <w:color w:val="auto"/>
              </w:rPr>
            </w:pPr>
          </w:p>
        </w:tc>
      </w:tr>
      <w:tr>
        <w:trPr>
          <w:trHeight w:val="48"/>
        </w:trPr>
        <w:tc>
          <w:tcPr>
            <w:tcW w:w="8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right w:val="single" w:sz="8" w:color="CCEEFF"/>
            </w:tcBorders>
            <w:shd w:val="clear" w:color="auto" w:fill="CCEEFF"/>
          </w:tcPr>
          <w:p>
            <w:pPr>
              <w:spacing w:after="0"/>
              <w:rPr>
                <w:sz w:val="4"/>
                <w:szCs w:val="4"/>
                <w:color w:val="auto"/>
              </w:rPr>
            </w:pPr>
          </w:p>
        </w:tc>
        <w:tc>
          <w:tcPr>
            <w:tcW w:w="70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175"/>
        </w:trPr>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10.6.1</w:t>
            </w:r>
          </w:p>
        </w:tc>
        <w:tc>
          <w:tcPr>
            <w:tcW w:w="480" w:type="dxa"/>
            <w:vAlign w:val="bottom"/>
          </w:tcPr>
          <w:p>
            <w:pPr>
              <w:spacing w:after="0"/>
              <w:rPr>
                <w:sz w:val="15"/>
                <w:szCs w:val="15"/>
                <w:color w:val="auto"/>
              </w:rPr>
            </w:pPr>
          </w:p>
        </w:tc>
        <w:tc>
          <w:tcPr>
            <w:tcW w:w="7820" w:type="dxa"/>
            <w:vAlign w:val="bottom"/>
            <w:gridSpan w:val="38"/>
          </w:tcPr>
          <w:p>
            <w:pPr>
              <w:spacing w:after="0" w:line="176" w:lineRule="exact"/>
              <w:rPr>
                <w:rFonts w:ascii="Arial" w:cs="Arial" w:eastAsia="Arial" w:hAnsi="Arial"/>
                <w:sz w:val="18"/>
                <w:szCs w:val="18"/>
                <w:color w:val="0000EE"/>
                <w:w w:val="95"/>
              </w:rPr>
            </w:pPr>
            <w:hyperlink r:id="rId127">
              <w:r>
                <w:rPr>
                  <w:rFonts w:ascii="Arial" w:cs="Arial" w:eastAsia="Arial" w:hAnsi="Arial"/>
                  <w:sz w:val="18"/>
                  <w:szCs w:val="18"/>
                  <w:color w:val="0000EE"/>
                  <w:w w:val="95"/>
                </w:rPr>
                <w:t>First Amendment to the Purchase and Sale Agreement, dated March 29, 2021, effective April 20, 2021</w:t>
              </w:r>
            </w:hyperlink>
          </w:p>
        </w:tc>
      </w:tr>
      <w:tr>
        <w:trPr>
          <w:trHeight w:val="196"/>
        </w:trPr>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0" w:type="dxa"/>
            <w:vAlign w:val="bottom"/>
            <w:tcBorders>
              <w:top w:val="single" w:sz="8" w:color="0000EE"/>
            </w:tcBorders>
            <w:gridSpan w:val="24"/>
          </w:tcPr>
          <w:p>
            <w:pPr>
              <w:spacing w:after="0" w:line="196" w:lineRule="exact"/>
              <w:rPr>
                <w:rFonts w:ascii="Arial" w:cs="Arial" w:eastAsia="Arial" w:hAnsi="Arial"/>
                <w:sz w:val="18"/>
                <w:szCs w:val="18"/>
                <w:color w:val="0000EE"/>
                <w:w w:val="93"/>
              </w:rPr>
            </w:pPr>
            <w:hyperlink r:id="rId127">
              <w:r>
                <w:rPr>
                  <w:rFonts w:ascii="Arial" w:cs="Arial" w:eastAsia="Arial" w:hAnsi="Arial"/>
                  <w:sz w:val="18"/>
                  <w:szCs w:val="18"/>
                  <w:color w:val="0000EE"/>
                  <w:w w:val="93"/>
                </w:rPr>
                <w:t>(incorporated by reference to Exhibit 10.2 of our Current Report on Form 8-K filed on May 11, 2021)</w:t>
              </w:r>
            </w:hyperlink>
          </w:p>
        </w:tc>
        <w:tc>
          <w:tcPr>
            <w:tcW w:w="420" w:type="dxa"/>
            <w:vAlign w:val="bottom"/>
            <w:gridSpan w:val="14"/>
          </w:tcPr>
          <w:p>
            <w:pPr>
              <w:spacing w:after="0"/>
              <w:rPr>
                <w:sz w:val="17"/>
                <w:szCs w:val="17"/>
                <w:color w:val="auto"/>
              </w:rPr>
            </w:pPr>
          </w:p>
        </w:tc>
      </w:tr>
      <w:tr>
        <w:trPr>
          <w:trHeight w:val="48"/>
        </w:trPr>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70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132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76"/>
        </w:trPr>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10.6.2</w:t>
            </w:r>
          </w:p>
        </w:tc>
        <w:tc>
          <w:tcPr>
            <w:tcW w:w="480" w:type="dxa"/>
            <w:vAlign w:val="bottom"/>
            <w:tcBorders>
              <w:right w:val="single" w:sz="8" w:color="CCEEFF"/>
            </w:tcBorders>
            <w:shd w:val="clear" w:color="auto" w:fill="CCEEFF"/>
          </w:tcPr>
          <w:p>
            <w:pPr>
              <w:spacing w:after="0"/>
              <w:rPr>
                <w:sz w:val="15"/>
                <w:szCs w:val="15"/>
                <w:color w:val="auto"/>
              </w:rPr>
            </w:pPr>
          </w:p>
        </w:tc>
        <w:tc>
          <w:tcPr>
            <w:tcW w:w="7820" w:type="dxa"/>
            <w:vAlign w:val="bottom"/>
            <w:gridSpan w:val="38"/>
            <w:shd w:val="clear" w:color="auto" w:fill="CCEEFF"/>
          </w:tcPr>
          <w:p>
            <w:pPr>
              <w:spacing w:after="0" w:line="176" w:lineRule="exact"/>
              <w:rPr>
                <w:rFonts w:ascii="Arial" w:cs="Arial" w:eastAsia="Arial" w:hAnsi="Arial"/>
                <w:sz w:val="18"/>
                <w:szCs w:val="18"/>
                <w:color w:val="0000EE"/>
                <w:w w:val="94"/>
              </w:rPr>
            </w:pPr>
            <w:hyperlink r:id="rId128">
              <w:r>
                <w:rPr>
                  <w:rFonts w:ascii="Arial" w:cs="Arial" w:eastAsia="Arial" w:hAnsi="Arial"/>
                  <w:sz w:val="18"/>
                  <w:szCs w:val="18"/>
                  <w:color w:val="0000EE"/>
                  <w:w w:val="94"/>
                </w:rPr>
                <w:t>Second Amendment to the Purchase and Sale Agreement, dated March 29, 2021, effective May 4, 2021</w:t>
              </w:r>
            </w:hyperlink>
          </w:p>
        </w:tc>
      </w:tr>
      <w:tr>
        <w:trPr>
          <w:trHeight w:val="196"/>
        </w:trPr>
        <w:tc>
          <w:tcPr>
            <w:tcW w:w="8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right w:val="single" w:sz="8" w:color="CCEEFF"/>
            </w:tcBorders>
            <w:shd w:val="clear" w:color="auto" w:fill="CCEEFF"/>
          </w:tcPr>
          <w:p>
            <w:pPr>
              <w:spacing w:after="0"/>
              <w:rPr>
                <w:sz w:val="17"/>
                <w:szCs w:val="17"/>
                <w:color w:val="auto"/>
              </w:rPr>
            </w:pPr>
          </w:p>
        </w:tc>
        <w:tc>
          <w:tcPr>
            <w:tcW w:w="7460" w:type="dxa"/>
            <w:vAlign w:val="bottom"/>
            <w:tcBorders>
              <w:top w:val="single" w:sz="8" w:color="0000EE"/>
            </w:tcBorders>
            <w:gridSpan w:val="26"/>
            <w:shd w:val="clear" w:color="auto" w:fill="CCEEFF"/>
          </w:tcPr>
          <w:p>
            <w:pPr>
              <w:spacing w:after="0" w:line="196" w:lineRule="exact"/>
              <w:rPr>
                <w:rFonts w:ascii="Arial" w:cs="Arial" w:eastAsia="Arial" w:hAnsi="Arial"/>
                <w:sz w:val="18"/>
                <w:szCs w:val="18"/>
                <w:color w:val="0000EE"/>
                <w:w w:val="93"/>
              </w:rPr>
            </w:pPr>
            <w:hyperlink r:id="rId128">
              <w:r>
                <w:rPr>
                  <w:rFonts w:ascii="Arial" w:cs="Arial" w:eastAsia="Arial" w:hAnsi="Arial"/>
                  <w:sz w:val="18"/>
                  <w:szCs w:val="18"/>
                  <w:color w:val="0000EE"/>
                  <w:w w:val="93"/>
                </w:rPr>
                <w:t>(incorporated by reference to Exhibit 10.3 of our Current Report on Form 8-K filed on May 11, 2021)</w:t>
              </w:r>
            </w:hyperlink>
          </w:p>
        </w:tc>
        <w:tc>
          <w:tcPr>
            <w:tcW w:w="360" w:type="dxa"/>
            <w:vAlign w:val="bottom"/>
            <w:tcBorders>
              <w:top w:val="single" w:sz="8" w:color="CCEEFF"/>
            </w:tcBorders>
            <w:gridSpan w:val="12"/>
            <w:shd w:val="clear" w:color="auto" w:fill="CCEEFF"/>
          </w:tcPr>
          <w:p>
            <w:pPr>
              <w:spacing w:after="0"/>
              <w:rPr>
                <w:sz w:val="17"/>
                <w:szCs w:val="17"/>
                <w:color w:val="auto"/>
              </w:rPr>
            </w:pPr>
          </w:p>
        </w:tc>
      </w:tr>
      <w:tr>
        <w:trPr>
          <w:trHeight w:val="48"/>
        </w:trPr>
        <w:tc>
          <w:tcPr>
            <w:tcW w:w="8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right w:val="single" w:sz="8" w:color="CCEEFF"/>
            </w:tcBorders>
            <w:shd w:val="clear" w:color="auto" w:fill="CCEEFF"/>
          </w:tcPr>
          <w:p>
            <w:pPr>
              <w:spacing w:after="0"/>
              <w:rPr>
                <w:sz w:val="4"/>
                <w:szCs w:val="4"/>
                <w:color w:val="auto"/>
              </w:rPr>
            </w:pPr>
          </w:p>
        </w:tc>
        <w:tc>
          <w:tcPr>
            <w:tcW w:w="70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132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right w:val="single" w:sz="8" w:color="CCEEFF"/>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175"/>
        </w:trPr>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10.6.3</w:t>
            </w:r>
          </w:p>
        </w:tc>
        <w:tc>
          <w:tcPr>
            <w:tcW w:w="480" w:type="dxa"/>
            <w:vAlign w:val="bottom"/>
          </w:tcPr>
          <w:p>
            <w:pPr>
              <w:spacing w:after="0"/>
              <w:rPr>
                <w:sz w:val="15"/>
                <w:szCs w:val="15"/>
                <w:color w:val="auto"/>
              </w:rPr>
            </w:pPr>
          </w:p>
        </w:tc>
        <w:tc>
          <w:tcPr>
            <w:tcW w:w="7340" w:type="dxa"/>
            <w:vAlign w:val="bottom"/>
            <w:tcBorders>
              <w:bottom w:val="single" w:sz="8" w:color="0000EE"/>
            </w:tcBorders>
            <w:gridSpan w:val="22"/>
          </w:tcPr>
          <w:p>
            <w:pPr>
              <w:spacing w:after="0" w:line="176" w:lineRule="exact"/>
              <w:rPr>
                <w:rFonts w:ascii="Arial" w:cs="Arial" w:eastAsia="Arial" w:hAnsi="Arial"/>
                <w:sz w:val="18"/>
                <w:szCs w:val="18"/>
                <w:color w:val="0000EE"/>
                <w:w w:val="90"/>
              </w:rPr>
            </w:pPr>
            <w:hyperlink r:id="rId129">
              <w:r>
                <w:rPr>
                  <w:rFonts w:ascii="Arial" w:cs="Arial" w:eastAsia="Arial" w:hAnsi="Arial"/>
                  <w:sz w:val="18"/>
                  <w:szCs w:val="18"/>
                  <w:color w:val="0000EE"/>
                  <w:w w:val="90"/>
                </w:rPr>
                <w:t>Third Amendment to the Purchase and Sale Agreement, dated March 29, 2021, effective May 6, 2021</w:t>
              </w:r>
            </w:hyperlink>
          </w:p>
        </w:tc>
        <w:tc>
          <w:tcPr>
            <w:tcW w:w="480" w:type="dxa"/>
            <w:vAlign w:val="bottom"/>
            <w:gridSpan w:val="16"/>
          </w:tcPr>
          <w:p>
            <w:pPr>
              <w:spacing w:after="0"/>
              <w:rPr>
                <w:sz w:val="15"/>
                <w:szCs w:val="15"/>
                <w:color w:val="auto"/>
              </w:rPr>
            </w:pPr>
          </w:p>
        </w:tc>
      </w:tr>
      <w:tr>
        <w:trPr>
          <w:trHeight w:val="196"/>
        </w:trPr>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20" w:type="dxa"/>
            <w:vAlign w:val="bottom"/>
            <w:gridSpan w:val="38"/>
          </w:tcPr>
          <w:p>
            <w:pPr>
              <w:spacing w:after="0" w:line="196" w:lineRule="exact"/>
              <w:rPr>
                <w:rFonts w:ascii="Arial" w:cs="Arial" w:eastAsia="Arial" w:hAnsi="Arial"/>
                <w:sz w:val="18"/>
                <w:szCs w:val="18"/>
                <w:color w:val="0000EE"/>
                <w:w w:val="98"/>
              </w:rPr>
            </w:pPr>
            <w:hyperlink r:id="rId129">
              <w:r>
                <w:rPr>
                  <w:rFonts w:ascii="Arial" w:cs="Arial" w:eastAsia="Arial" w:hAnsi="Arial"/>
                  <w:sz w:val="18"/>
                  <w:szCs w:val="18"/>
                  <w:color w:val="0000EE"/>
                  <w:w w:val="98"/>
                </w:rPr>
                <w:t>(incorporated by reference to Exhibit 10.4 of our Current Report on Form 8-K filed on May 11, 2021)</w:t>
              </w:r>
            </w:hyperlink>
          </w:p>
        </w:tc>
      </w:tr>
      <w:tr>
        <w:trPr>
          <w:trHeight w:val="48"/>
        </w:trPr>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70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132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76"/>
        </w:trPr>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10.7</w:t>
            </w:r>
          </w:p>
        </w:tc>
        <w:tc>
          <w:tcPr>
            <w:tcW w:w="480" w:type="dxa"/>
            <w:vAlign w:val="bottom"/>
            <w:tcBorders>
              <w:right w:val="single" w:sz="8" w:color="CCEEFF"/>
            </w:tcBorders>
            <w:shd w:val="clear" w:color="auto" w:fill="CCEEFF"/>
          </w:tcPr>
          <w:p>
            <w:pPr>
              <w:spacing w:after="0"/>
              <w:rPr>
                <w:sz w:val="15"/>
                <w:szCs w:val="15"/>
                <w:color w:val="auto"/>
              </w:rPr>
            </w:pPr>
          </w:p>
        </w:tc>
        <w:tc>
          <w:tcPr>
            <w:tcW w:w="7820" w:type="dxa"/>
            <w:vAlign w:val="bottom"/>
            <w:gridSpan w:val="38"/>
            <w:shd w:val="clear" w:color="auto" w:fill="CCEEFF"/>
          </w:tcPr>
          <w:p>
            <w:pPr>
              <w:spacing w:after="0" w:line="176" w:lineRule="exact"/>
              <w:rPr>
                <w:rFonts w:ascii="Arial" w:cs="Arial" w:eastAsia="Arial" w:hAnsi="Arial"/>
                <w:sz w:val="18"/>
                <w:szCs w:val="18"/>
                <w:color w:val="0000EE"/>
                <w:w w:val="98"/>
              </w:rPr>
            </w:pPr>
            <w:hyperlink r:id="rId130">
              <w:r>
                <w:rPr>
                  <w:rFonts w:ascii="Arial" w:cs="Arial" w:eastAsia="Arial" w:hAnsi="Arial"/>
                  <w:sz w:val="18"/>
                  <w:szCs w:val="18"/>
                  <w:color w:val="0000EE"/>
                  <w:w w:val="98"/>
                </w:rPr>
                <w:t>Purchase and Sale Agreement, dated January 14, 2022, between Evolution Petroleum Corporation,</w:t>
              </w:r>
            </w:hyperlink>
          </w:p>
        </w:tc>
      </w:tr>
      <w:tr>
        <w:trPr>
          <w:trHeight w:val="20"/>
        </w:trPr>
        <w:tc>
          <w:tcPr>
            <w:tcW w:w="820" w:type="dxa"/>
            <w:vAlign w:val="bottom"/>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gridSpan w:val="3"/>
            <w:shd w:val="clear" w:color="auto" w:fill="0000EE"/>
          </w:tcPr>
          <w:p>
            <w:pPr>
              <w:spacing w:after="0" w:line="20" w:lineRule="exact"/>
              <w:rPr>
                <w:sz w:val="1"/>
                <w:szCs w:val="1"/>
                <w:color w:val="auto"/>
              </w:rPr>
            </w:pPr>
          </w:p>
        </w:tc>
        <w:tc>
          <w:tcPr>
            <w:tcW w:w="280" w:type="dxa"/>
            <w:vAlign w:val="bottom"/>
            <w:gridSpan w:val="3"/>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8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r>
      <w:tr>
        <w:trPr>
          <w:trHeight w:val="196"/>
        </w:trPr>
        <w:tc>
          <w:tcPr>
            <w:tcW w:w="820" w:type="dxa"/>
            <w:vAlign w:val="bottom"/>
            <w:shd w:val="clear" w:color="auto" w:fill="CCEEFF"/>
          </w:tcPr>
          <w:p>
            <w:pPr>
              <w:spacing w:after="0"/>
              <w:rPr>
                <w:sz w:val="17"/>
                <w:szCs w:val="17"/>
                <w:color w:val="auto"/>
              </w:rPr>
            </w:pPr>
          </w:p>
        </w:tc>
        <w:tc>
          <w:tcPr>
            <w:tcW w:w="480" w:type="dxa"/>
            <w:vAlign w:val="bottom"/>
            <w:tcBorders>
              <w:right w:val="single" w:sz="8" w:color="CCEEFF"/>
            </w:tcBorders>
            <w:shd w:val="clear" w:color="auto" w:fill="CCEEFF"/>
          </w:tcPr>
          <w:p>
            <w:pPr>
              <w:spacing w:after="0"/>
              <w:rPr>
                <w:sz w:val="17"/>
                <w:szCs w:val="17"/>
                <w:color w:val="auto"/>
              </w:rPr>
            </w:pPr>
          </w:p>
        </w:tc>
        <w:tc>
          <w:tcPr>
            <w:tcW w:w="7820" w:type="dxa"/>
            <w:vAlign w:val="bottom"/>
            <w:gridSpan w:val="38"/>
            <w:shd w:val="clear" w:color="auto" w:fill="CCEEFF"/>
          </w:tcPr>
          <w:p>
            <w:pPr>
              <w:spacing w:after="0" w:line="196" w:lineRule="exact"/>
              <w:rPr>
                <w:rFonts w:ascii="Arial" w:cs="Arial" w:eastAsia="Arial" w:hAnsi="Arial"/>
                <w:sz w:val="18"/>
                <w:szCs w:val="18"/>
                <w:color w:val="0000EE"/>
                <w:w w:val="93"/>
              </w:rPr>
            </w:pPr>
            <w:hyperlink r:id="rId130">
              <w:r>
                <w:rPr>
                  <w:rFonts w:ascii="Arial" w:cs="Arial" w:eastAsia="Arial" w:hAnsi="Arial"/>
                  <w:sz w:val="18"/>
                  <w:szCs w:val="18"/>
                  <w:color w:val="0000EE"/>
                  <w:w w:val="93"/>
                </w:rPr>
                <w:t>Foundation Energy Fund VII-A, LP and Foundation Energy Management, LLC (incorporated by reference</w:t>
              </w:r>
            </w:hyperlink>
          </w:p>
        </w:tc>
      </w:tr>
      <w:tr>
        <w:trPr>
          <w:trHeight w:val="196"/>
        </w:trPr>
        <w:tc>
          <w:tcPr>
            <w:tcW w:w="8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right w:val="single" w:sz="8" w:color="CCEEFF"/>
            </w:tcBorders>
            <w:shd w:val="clear" w:color="auto" w:fill="CCEEFF"/>
          </w:tcPr>
          <w:p>
            <w:pPr>
              <w:spacing w:after="0"/>
              <w:rPr>
                <w:sz w:val="17"/>
                <w:szCs w:val="17"/>
                <w:color w:val="auto"/>
              </w:rPr>
            </w:pPr>
          </w:p>
        </w:tc>
        <w:tc>
          <w:tcPr>
            <w:tcW w:w="7680" w:type="dxa"/>
            <w:vAlign w:val="bottom"/>
            <w:tcBorders>
              <w:top w:val="single" w:sz="8" w:color="0000EE"/>
            </w:tcBorders>
            <w:gridSpan w:val="35"/>
            <w:shd w:val="clear" w:color="auto" w:fill="CCEEFF"/>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to Exhibit 10.6 our Quarterly Report on Form 10-Q filed May 12, 2022)</w:t>
              </w:r>
            </w:hyperlink>
          </w:p>
        </w:tc>
        <w:tc>
          <w:tcPr>
            <w:tcW w:w="140" w:type="dxa"/>
            <w:vAlign w:val="bottom"/>
            <w:tcBorders>
              <w:top w:val="single" w:sz="8" w:color="CCEEFF"/>
            </w:tcBorders>
            <w:gridSpan w:val="3"/>
            <w:shd w:val="clear" w:color="auto" w:fill="CCEEFF"/>
          </w:tcPr>
          <w:p>
            <w:pPr>
              <w:spacing w:after="0"/>
              <w:rPr>
                <w:sz w:val="17"/>
                <w:szCs w:val="17"/>
                <w:color w:val="auto"/>
              </w:rPr>
            </w:pPr>
          </w:p>
        </w:tc>
      </w:tr>
      <w:tr>
        <w:trPr>
          <w:trHeight w:val="115"/>
        </w:trPr>
        <w:tc>
          <w:tcPr>
            <w:tcW w:w="82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CCEEFF"/>
              <w:right w:val="single" w:sz="8" w:color="CCEEFF"/>
            </w:tcBorders>
            <w:shd w:val="clear" w:color="auto" w:fill="CCEEFF"/>
          </w:tcPr>
          <w:p>
            <w:pPr>
              <w:spacing w:after="0"/>
              <w:rPr>
                <w:sz w:val="10"/>
                <w:szCs w:val="10"/>
                <w:color w:val="auto"/>
              </w:rPr>
            </w:pPr>
          </w:p>
        </w:tc>
        <w:tc>
          <w:tcPr>
            <w:tcW w:w="700" w:type="dxa"/>
            <w:vAlign w:val="bottom"/>
            <w:tcBorders>
              <w:top w:val="single" w:sz="8" w:color="0000EE"/>
            </w:tcBorders>
            <w:shd w:val="clear" w:color="auto" w:fill="CCEEFF"/>
          </w:tcPr>
          <w:p>
            <w:pPr>
              <w:spacing w:after="0"/>
              <w:rPr>
                <w:sz w:val="10"/>
                <w:szCs w:val="10"/>
                <w:color w:val="auto"/>
              </w:rPr>
            </w:pPr>
          </w:p>
        </w:tc>
        <w:tc>
          <w:tcPr>
            <w:tcW w:w="580" w:type="dxa"/>
            <w:vAlign w:val="bottom"/>
            <w:tcBorders>
              <w:top w:val="single" w:sz="8" w:color="0000EE"/>
            </w:tcBorders>
            <w:shd w:val="clear" w:color="auto" w:fill="CCEEFF"/>
          </w:tcPr>
          <w:p>
            <w:pPr>
              <w:spacing w:after="0"/>
              <w:rPr>
                <w:sz w:val="10"/>
                <w:szCs w:val="10"/>
                <w:color w:val="auto"/>
              </w:rPr>
            </w:pPr>
          </w:p>
        </w:tc>
        <w:tc>
          <w:tcPr>
            <w:tcW w:w="160" w:type="dxa"/>
            <w:vAlign w:val="bottom"/>
            <w:tcBorders>
              <w:top w:val="single" w:sz="8" w:color="0000EE"/>
            </w:tcBorders>
            <w:shd w:val="clear" w:color="auto" w:fill="CCEEFF"/>
          </w:tcPr>
          <w:p>
            <w:pPr>
              <w:spacing w:after="0"/>
              <w:rPr>
                <w:sz w:val="10"/>
                <w:szCs w:val="10"/>
                <w:color w:val="auto"/>
              </w:rPr>
            </w:pPr>
          </w:p>
        </w:tc>
        <w:tc>
          <w:tcPr>
            <w:tcW w:w="700" w:type="dxa"/>
            <w:vAlign w:val="bottom"/>
            <w:tcBorders>
              <w:top w:val="single" w:sz="8" w:color="0000EE"/>
            </w:tcBorders>
            <w:shd w:val="clear" w:color="auto" w:fill="CCEEFF"/>
          </w:tcPr>
          <w:p>
            <w:pPr>
              <w:spacing w:after="0"/>
              <w:rPr>
                <w:sz w:val="10"/>
                <w:szCs w:val="10"/>
                <w:color w:val="auto"/>
              </w:rPr>
            </w:pPr>
          </w:p>
        </w:tc>
        <w:tc>
          <w:tcPr>
            <w:tcW w:w="600" w:type="dxa"/>
            <w:vAlign w:val="bottom"/>
            <w:tcBorders>
              <w:top w:val="single" w:sz="8" w:color="0000EE"/>
            </w:tcBorders>
            <w:shd w:val="clear" w:color="auto" w:fill="CCEEFF"/>
          </w:tcPr>
          <w:p>
            <w:pPr>
              <w:spacing w:after="0"/>
              <w:rPr>
                <w:sz w:val="10"/>
                <w:szCs w:val="10"/>
                <w:color w:val="auto"/>
              </w:rPr>
            </w:pPr>
          </w:p>
        </w:tc>
        <w:tc>
          <w:tcPr>
            <w:tcW w:w="60" w:type="dxa"/>
            <w:vAlign w:val="bottom"/>
            <w:tcBorders>
              <w:top w:val="single" w:sz="8" w:color="0000EE"/>
            </w:tcBorders>
            <w:shd w:val="clear" w:color="auto" w:fill="CCEEFF"/>
          </w:tcPr>
          <w:p>
            <w:pPr>
              <w:spacing w:after="0"/>
              <w:rPr>
                <w:sz w:val="10"/>
                <w:szCs w:val="10"/>
                <w:color w:val="auto"/>
              </w:rPr>
            </w:pPr>
          </w:p>
        </w:tc>
        <w:tc>
          <w:tcPr>
            <w:tcW w:w="620" w:type="dxa"/>
            <w:vAlign w:val="bottom"/>
            <w:tcBorders>
              <w:top w:val="single" w:sz="8" w:color="0000EE"/>
            </w:tcBorders>
            <w:shd w:val="clear" w:color="auto" w:fill="CCEEFF"/>
          </w:tcPr>
          <w:p>
            <w:pPr>
              <w:spacing w:after="0"/>
              <w:rPr>
                <w:sz w:val="10"/>
                <w:szCs w:val="10"/>
                <w:color w:val="auto"/>
              </w:rPr>
            </w:pPr>
          </w:p>
        </w:tc>
        <w:tc>
          <w:tcPr>
            <w:tcW w:w="160" w:type="dxa"/>
            <w:vAlign w:val="bottom"/>
            <w:tcBorders>
              <w:top w:val="single" w:sz="8" w:color="0000EE"/>
            </w:tcBorders>
            <w:shd w:val="clear" w:color="auto" w:fill="CCEEFF"/>
          </w:tcPr>
          <w:p>
            <w:pPr>
              <w:spacing w:after="0"/>
              <w:rPr>
                <w:sz w:val="10"/>
                <w:szCs w:val="10"/>
                <w:color w:val="auto"/>
              </w:rPr>
            </w:pPr>
          </w:p>
        </w:tc>
        <w:tc>
          <w:tcPr>
            <w:tcW w:w="200" w:type="dxa"/>
            <w:vAlign w:val="bottom"/>
            <w:tcBorders>
              <w:top w:val="single" w:sz="8" w:color="0000EE"/>
            </w:tcBorders>
            <w:shd w:val="clear" w:color="auto" w:fill="CCEEFF"/>
          </w:tcPr>
          <w:p>
            <w:pPr>
              <w:spacing w:after="0"/>
              <w:rPr>
                <w:sz w:val="10"/>
                <w:szCs w:val="10"/>
                <w:color w:val="auto"/>
              </w:rPr>
            </w:pPr>
          </w:p>
        </w:tc>
        <w:tc>
          <w:tcPr>
            <w:tcW w:w="280" w:type="dxa"/>
            <w:vAlign w:val="bottom"/>
            <w:tcBorders>
              <w:top w:val="single" w:sz="8" w:color="0000EE"/>
            </w:tcBorders>
            <w:shd w:val="clear" w:color="auto" w:fill="CCEEFF"/>
          </w:tcPr>
          <w:p>
            <w:pPr>
              <w:spacing w:after="0"/>
              <w:rPr>
                <w:sz w:val="10"/>
                <w:szCs w:val="10"/>
                <w:color w:val="auto"/>
              </w:rPr>
            </w:pPr>
          </w:p>
        </w:tc>
        <w:tc>
          <w:tcPr>
            <w:tcW w:w="20" w:type="dxa"/>
            <w:vAlign w:val="bottom"/>
            <w:tcBorders>
              <w:top w:val="single" w:sz="8" w:color="0000EE"/>
            </w:tcBorders>
            <w:shd w:val="clear" w:color="auto" w:fill="CCEEFF"/>
          </w:tcPr>
          <w:p>
            <w:pPr>
              <w:spacing w:after="0"/>
              <w:rPr>
                <w:sz w:val="10"/>
                <w:szCs w:val="10"/>
                <w:color w:val="auto"/>
              </w:rPr>
            </w:pPr>
          </w:p>
        </w:tc>
        <w:tc>
          <w:tcPr>
            <w:tcW w:w="180" w:type="dxa"/>
            <w:vAlign w:val="bottom"/>
            <w:tcBorders>
              <w:top w:val="single" w:sz="8" w:color="0000EE"/>
            </w:tcBorders>
            <w:shd w:val="clear" w:color="auto" w:fill="CCEEFF"/>
          </w:tcPr>
          <w:p>
            <w:pPr>
              <w:spacing w:after="0"/>
              <w:rPr>
                <w:sz w:val="10"/>
                <w:szCs w:val="10"/>
                <w:color w:val="auto"/>
              </w:rPr>
            </w:pPr>
          </w:p>
        </w:tc>
        <w:tc>
          <w:tcPr>
            <w:tcW w:w="240" w:type="dxa"/>
            <w:vAlign w:val="bottom"/>
            <w:tcBorders>
              <w:top w:val="single" w:sz="8" w:color="0000EE"/>
            </w:tcBorders>
            <w:shd w:val="clear" w:color="auto" w:fill="CCEEFF"/>
          </w:tcPr>
          <w:p>
            <w:pPr>
              <w:spacing w:after="0"/>
              <w:rPr>
                <w:sz w:val="10"/>
                <w:szCs w:val="10"/>
                <w:color w:val="auto"/>
              </w:rPr>
            </w:pPr>
          </w:p>
        </w:tc>
        <w:tc>
          <w:tcPr>
            <w:tcW w:w="40" w:type="dxa"/>
            <w:vAlign w:val="bottom"/>
            <w:tcBorders>
              <w:top w:val="single" w:sz="8" w:color="0000EE"/>
            </w:tcBorders>
            <w:shd w:val="clear" w:color="auto" w:fill="CCEEFF"/>
          </w:tcPr>
          <w:p>
            <w:pPr>
              <w:spacing w:after="0"/>
              <w:rPr>
                <w:sz w:val="10"/>
                <w:szCs w:val="10"/>
                <w:color w:val="auto"/>
              </w:rPr>
            </w:pPr>
          </w:p>
        </w:tc>
        <w:tc>
          <w:tcPr>
            <w:tcW w:w="180" w:type="dxa"/>
            <w:vAlign w:val="bottom"/>
            <w:tcBorders>
              <w:top w:val="single" w:sz="8" w:color="0000EE"/>
            </w:tcBorders>
            <w:shd w:val="clear" w:color="auto" w:fill="CCEEFF"/>
          </w:tcPr>
          <w:p>
            <w:pPr>
              <w:spacing w:after="0"/>
              <w:rPr>
                <w:sz w:val="10"/>
                <w:szCs w:val="10"/>
                <w:color w:val="auto"/>
              </w:rPr>
            </w:pPr>
          </w:p>
        </w:tc>
        <w:tc>
          <w:tcPr>
            <w:tcW w:w="480" w:type="dxa"/>
            <w:vAlign w:val="bottom"/>
            <w:tcBorders>
              <w:top w:val="single" w:sz="8" w:color="0000EE"/>
            </w:tcBorders>
            <w:shd w:val="clear" w:color="auto" w:fill="CCEEFF"/>
          </w:tcPr>
          <w:p>
            <w:pPr>
              <w:spacing w:after="0"/>
              <w:rPr>
                <w:sz w:val="10"/>
                <w:szCs w:val="10"/>
                <w:color w:val="auto"/>
              </w:rPr>
            </w:pPr>
          </w:p>
        </w:tc>
        <w:tc>
          <w:tcPr>
            <w:tcW w:w="132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right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r>
      <w:tr>
        <w:trPr>
          <w:trHeight w:val="176"/>
        </w:trPr>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10.8</w:t>
            </w:r>
          </w:p>
        </w:tc>
        <w:tc>
          <w:tcPr>
            <w:tcW w:w="480" w:type="dxa"/>
            <w:vAlign w:val="bottom"/>
          </w:tcPr>
          <w:p>
            <w:pPr>
              <w:spacing w:after="0"/>
              <w:rPr>
                <w:sz w:val="15"/>
                <w:szCs w:val="15"/>
                <w:color w:val="auto"/>
              </w:rPr>
            </w:pPr>
          </w:p>
        </w:tc>
        <w:tc>
          <w:tcPr>
            <w:tcW w:w="7580" w:type="dxa"/>
            <w:vAlign w:val="bottom"/>
            <w:tcBorders>
              <w:bottom w:val="single" w:sz="8" w:color="0000EE"/>
            </w:tcBorders>
            <w:gridSpan w:val="31"/>
          </w:tcPr>
          <w:p>
            <w:pPr>
              <w:spacing w:after="0" w:line="176" w:lineRule="exact"/>
              <w:rPr>
                <w:rFonts w:ascii="Arial" w:cs="Arial" w:eastAsia="Arial" w:hAnsi="Arial"/>
                <w:sz w:val="18"/>
                <w:szCs w:val="18"/>
                <w:color w:val="0000EE"/>
                <w:w w:val="90"/>
              </w:rPr>
            </w:pPr>
            <w:hyperlink r:id="rId131">
              <w:r>
                <w:rPr>
                  <w:rFonts w:ascii="Arial" w:cs="Arial" w:eastAsia="Arial" w:hAnsi="Arial"/>
                  <w:sz w:val="18"/>
                  <w:szCs w:val="18"/>
                  <w:color w:val="0000EE"/>
                  <w:w w:val="90"/>
                </w:rPr>
                <w:t>Purchase and Sale Agreement, dated April 1, 2022, between Evolution Petroleum Corporation and Exaro</w:t>
              </w:r>
            </w:hyperlink>
          </w:p>
        </w:tc>
        <w:tc>
          <w:tcPr>
            <w:tcW w:w="240" w:type="dxa"/>
            <w:vAlign w:val="bottom"/>
            <w:gridSpan w:val="7"/>
          </w:tcPr>
          <w:p>
            <w:pPr>
              <w:spacing w:after="0"/>
              <w:rPr>
                <w:sz w:val="15"/>
                <w:szCs w:val="15"/>
                <w:color w:val="auto"/>
              </w:rPr>
            </w:pPr>
          </w:p>
        </w:tc>
      </w:tr>
      <w:tr>
        <w:trPr>
          <w:trHeight w:val="196"/>
        </w:trPr>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720" w:type="dxa"/>
            <w:vAlign w:val="bottom"/>
            <w:tcBorders>
              <w:bottom w:val="single" w:sz="8" w:color="0000EE"/>
            </w:tcBorders>
            <w:gridSpan w:val="37"/>
          </w:tcPr>
          <w:p>
            <w:pPr>
              <w:spacing w:after="0" w:line="196" w:lineRule="exact"/>
              <w:rPr>
                <w:rFonts w:ascii="Arial" w:cs="Arial" w:eastAsia="Arial" w:hAnsi="Arial"/>
                <w:sz w:val="18"/>
                <w:szCs w:val="18"/>
                <w:color w:val="0000EE"/>
                <w:w w:val="93"/>
              </w:rPr>
            </w:pPr>
            <w:hyperlink r:id="rId131">
              <w:r>
                <w:rPr>
                  <w:rFonts w:ascii="Arial" w:cs="Arial" w:eastAsia="Arial" w:hAnsi="Arial"/>
                  <w:sz w:val="18"/>
                  <w:szCs w:val="18"/>
                  <w:color w:val="0000EE"/>
                  <w:w w:val="93"/>
                </w:rPr>
                <w:t>Energy III, LL (incorporated by reference to Exhibit 10.7 of our Quarterly Report on Form 10-Q filed May</w:t>
              </w:r>
            </w:hyperlink>
          </w:p>
        </w:tc>
        <w:tc>
          <w:tcPr>
            <w:tcW w:w="10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gridSpan w:val="2"/>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12, 2022)</w:t>
              </w:r>
            </w:hyperlink>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15"/>
        </w:trPr>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Borders>
              <w:top w:val="single" w:sz="8" w:color="0000EE"/>
            </w:tcBorders>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5"/>
        </w:trPr>
        <w:tc>
          <w:tcPr>
            <w:tcW w:w="1300" w:type="dxa"/>
            <w:vAlign w:val="bottom"/>
            <w:tcBorders>
              <w:right w:val="single" w:sz="8" w:color="CCEEFF"/>
            </w:tcBorders>
            <w:gridSpan w:val="2"/>
            <w:shd w:val="clear" w:color="auto" w:fill="CCEEFF"/>
          </w:tcPr>
          <w:p>
            <w:pPr>
              <w:jc w:val="right"/>
              <w:ind w:right="520"/>
              <w:spacing w:after="0" w:line="176" w:lineRule="exact"/>
              <w:rPr>
                <w:sz w:val="20"/>
                <w:szCs w:val="20"/>
                <w:color w:val="auto"/>
              </w:rPr>
            </w:pPr>
            <w:r>
              <w:rPr>
                <w:rFonts w:ascii="Arial" w:cs="Arial" w:eastAsia="Arial" w:hAnsi="Arial"/>
                <w:sz w:val="18"/>
                <w:szCs w:val="18"/>
                <w:color w:val="auto"/>
              </w:rPr>
              <w:t>10.9</w:t>
            </w:r>
            <w:r>
              <w:rPr>
                <w:rFonts w:ascii="Arial" w:cs="Arial" w:eastAsia="Arial" w:hAnsi="Arial"/>
                <w:sz w:val="18"/>
                <w:szCs w:val="18"/>
                <w:i w:val="1"/>
                <w:iCs w:val="1"/>
                <w:color w:val="auto"/>
              </w:rPr>
              <w:t>†</w:t>
            </w:r>
          </w:p>
        </w:tc>
        <w:tc>
          <w:tcPr>
            <w:tcW w:w="7820" w:type="dxa"/>
            <w:vAlign w:val="bottom"/>
            <w:gridSpan w:val="38"/>
            <w:shd w:val="clear" w:color="auto" w:fill="CCEEFF"/>
          </w:tcPr>
          <w:p>
            <w:pPr>
              <w:spacing w:after="0" w:line="176" w:lineRule="exact"/>
              <w:rPr>
                <w:rFonts w:ascii="Arial" w:cs="Arial" w:eastAsia="Arial" w:hAnsi="Arial"/>
                <w:sz w:val="18"/>
                <w:szCs w:val="18"/>
                <w:color w:val="0000EE"/>
                <w:w w:val="93"/>
              </w:rPr>
            </w:pPr>
            <w:hyperlink r:id="rId132">
              <w:r>
                <w:rPr>
                  <w:rFonts w:ascii="Arial" w:cs="Arial" w:eastAsia="Arial" w:hAnsi="Arial"/>
                  <w:sz w:val="18"/>
                  <w:szCs w:val="18"/>
                  <w:color w:val="0000EE"/>
                  <w:w w:val="93"/>
                </w:rPr>
                <w:t>Employment Offer Letter to Kelly Loyd dated October 25, 2022 (incorporated by reference to Exhibit 10.9</w:t>
              </w:r>
            </w:hyperlink>
          </w:p>
        </w:tc>
      </w:tr>
      <w:tr>
        <w:trPr>
          <w:trHeight w:val="196"/>
        </w:trPr>
        <w:tc>
          <w:tcPr>
            <w:tcW w:w="8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right w:val="single" w:sz="8" w:color="CCEEFF"/>
            </w:tcBorders>
            <w:shd w:val="clear" w:color="auto" w:fill="CCEEFF"/>
          </w:tcPr>
          <w:p>
            <w:pPr>
              <w:spacing w:after="0"/>
              <w:rPr>
                <w:sz w:val="17"/>
                <w:szCs w:val="17"/>
                <w:color w:val="auto"/>
              </w:rPr>
            </w:pPr>
          </w:p>
        </w:tc>
        <w:tc>
          <w:tcPr>
            <w:tcW w:w="7700" w:type="dxa"/>
            <w:vAlign w:val="bottom"/>
            <w:tcBorders>
              <w:top w:val="single" w:sz="8" w:color="0000EE"/>
            </w:tcBorders>
            <w:gridSpan w:val="36"/>
            <w:shd w:val="clear" w:color="auto" w:fill="CCEEFF"/>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of our Quarterly Report on Form 10-Q filed February 8, 2023)</w:t>
              </w:r>
            </w:hyperlink>
          </w:p>
        </w:tc>
        <w:tc>
          <w:tcPr>
            <w:tcW w:w="120" w:type="dxa"/>
            <w:vAlign w:val="bottom"/>
            <w:tcBorders>
              <w:top w:val="single" w:sz="8" w:color="CCEEFF"/>
            </w:tcBorders>
            <w:gridSpan w:val="2"/>
            <w:shd w:val="clear" w:color="auto" w:fill="CCEEFF"/>
          </w:tcPr>
          <w:p>
            <w:pPr>
              <w:spacing w:after="0"/>
              <w:rPr>
                <w:sz w:val="17"/>
                <w:szCs w:val="17"/>
                <w:color w:val="auto"/>
              </w:rPr>
            </w:pPr>
          </w:p>
        </w:tc>
      </w:tr>
      <w:tr>
        <w:trPr>
          <w:trHeight w:val="115"/>
        </w:trPr>
        <w:tc>
          <w:tcPr>
            <w:tcW w:w="82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CCEEFF"/>
              <w:right w:val="single" w:sz="8" w:color="CCEEFF"/>
            </w:tcBorders>
            <w:shd w:val="clear" w:color="auto" w:fill="CCEEFF"/>
          </w:tcPr>
          <w:p>
            <w:pPr>
              <w:spacing w:after="0"/>
              <w:rPr>
                <w:sz w:val="10"/>
                <w:szCs w:val="10"/>
                <w:color w:val="auto"/>
              </w:rPr>
            </w:pPr>
          </w:p>
        </w:tc>
        <w:tc>
          <w:tcPr>
            <w:tcW w:w="700" w:type="dxa"/>
            <w:vAlign w:val="bottom"/>
            <w:tcBorders>
              <w:top w:val="single" w:sz="8" w:color="0000EE"/>
            </w:tcBorders>
            <w:shd w:val="clear" w:color="auto" w:fill="CCEEFF"/>
          </w:tcPr>
          <w:p>
            <w:pPr>
              <w:spacing w:after="0"/>
              <w:rPr>
                <w:sz w:val="10"/>
                <w:szCs w:val="10"/>
                <w:color w:val="auto"/>
              </w:rPr>
            </w:pPr>
          </w:p>
        </w:tc>
        <w:tc>
          <w:tcPr>
            <w:tcW w:w="580" w:type="dxa"/>
            <w:vAlign w:val="bottom"/>
            <w:tcBorders>
              <w:top w:val="single" w:sz="8" w:color="0000EE"/>
            </w:tcBorders>
            <w:shd w:val="clear" w:color="auto" w:fill="CCEEFF"/>
          </w:tcPr>
          <w:p>
            <w:pPr>
              <w:spacing w:after="0"/>
              <w:rPr>
                <w:sz w:val="10"/>
                <w:szCs w:val="10"/>
                <w:color w:val="auto"/>
              </w:rPr>
            </w:pPr>
          </w:p>
        </w:tc>
        <w:tc>
          <w:tcPr>
            <w:tcW w:w="160" w:type="dxa"/>
            <w:vAlign w:val="bottom"/>
            <w:tcBorders>
              <w:top w:val="single" w:sz="8" w:color="0000EE"/>
            </w:tcBorders>
            <w:shd w:val="clear" w:color="auto" w:fill="CCEEFF"/>
          </w:tcPr>
          <w:p>
            <w:pPr>
              <w:spacing w:after="0"/>
              <w:rPr>
                <w:sz w:val="10"/>
                <w:szCs w:val="10"/>
                <w:color w:val="auto"/>
              </w:rPr>
            </w:pPr>
          </w:p>
        </w:tc>
        <w:tc>
          <w:tcPr>
            <w:tcW w:w="700" w:type="dxa"/>
            <w:vAlign w:val="bottom"/>
            <w:tcBorders>
              <w:top w:val="single" w:sz="8" w:color="0000EE"/>
            </w:tcBorders>
            <w:shd w:val="clear" w:color="auto" w:fill="CCEEFF"/>
          </w:tcPr>
          <w:p>
            <w:pPr>
              <w:spacing w:after="0"/>
              <w:rPr>
                <w:sz w:val="10"/>
                <w:szCs w:val="10"/>
                <w:color w:val="auto"/>
              </w:rPr>
            </w:pPr>
          </w:p>
        </w:tc>
        <w:tc>
          <w:tcPr>
            <w:tcW w:w="600" w:type="dxa"/>
            <w:vAlign w:val="bottom"/>
            <w:tcBorders>
              <w:top w:val="single" w:sz="8" w:color="0000EE"/>
            </w:tcBorders>
            <w:shd w:val="clear" w:color="auto" w:fill="CCEEFF"/>
          </w:tcPr>
          <w:p>
            <w:pPr>
              <w:spacing w:after="0"/>
              <w:rPr>
                <w:sz w:val="10"/>
                <w:szCs w:val="10"/>
                <w:color w:val="auto"/>
              </w:rPr>
            </w:pPr>
          </w:p>
        </w:tc>
        <w:tc>
          <w:tcPr>
            <w:tcW w:w="60" w:type="dxa"/>
            <w:vAlign w:val="bottom"/>
            <w:tcBorders>
              <w:top w:val="single" w:sz="8" w:color="0000EE"/>
            </w:tcBorders>
            <w:shd w:val="clear" w:color="auto" w:fill="CCEEFF"/>
          </w:tcPr>
          <w:p>
            <w:pPr>
              <w:spacing w:after="0"/>
              <w:rPr>
                <w:sz w:val="10"/>
                <w:szCs w:val="10"/>
                <w:color w:val="auto"/>
              </w:rPr>
            </w:pPr>
          </w:p>
        </w:tc>
        <w:tc>
          <w:tcPr>
            <w:tcW w:w="620" w:type="dxa"/>
            <w:vAlign w:val="bottom"/>
            <w:tcBorders>
              <w:top w:val="single" w:sz="8" w:color="0000EE"/>
            </w:tcBorders>
            <w:shd w:val="clear" w:color="auto" w:fill="CCEEFF"/>
          </w:tcPr>
          <w:p>
            <w:pPr>
              <w:spacing w:after="0"/>
              <w:rPr>
                <w:sz w:val="10"/>
                <w:szCs w:val="10"/>
                <w:color w:val="auto"/>
              </w:rPr>
            </w:pPr>
          </w:p>
        </w:tc>
        <w:tc>
          <w:tcPr>
            <w:tcW w:w="160" w:type="dxa"/>
            <w:vAlign w:val="bottom"/>
            <w:tcBorders>
              <w:top w:val="single" w:sz="8" w:color="0000EE"/>
            </w:tcBorders>
            <w:shd w:val="clear" w:color="auto" w:fill="CCEEFF"/>
          </w:tcPr>
          <w:p>
            <w:pPr>
              <w:spacing w:after="0"/>
              <w:rPr>
                <w:sz w:val="10"/>
                <w:szCs w:val="10"/>
                <w:color w:val="auto"/>
              </w:rPr>
            </w:pPr>
          </w:p>
        </w:tc>
        <w:tc>
          <w:tcPr>
            <w:tcW w:w="200" w:type="dxa"/>
            <w:vAlign w:val="bottom"/>
            <w:tcBorders>
              <w:top w:val="single" w:sz="8" w:color="0000EE"/>
            </w:tcBorders>
            <w:shd w:val="clear" w:color="auto" w:fill="CCEEFF"/>
          </w:tcPr>
          <w:p>
            <w:pPr>
              <w:spacing w:after="0"/>
              <w:rPr>
                <w:sz w:val="10"/>
                <w:szCs w:val="10"/>
                <w:color w:val="auto"/>
              </w:rPr>
            </w:pPr>
          </w:p>
        </w:tc>
        <w:tc>
          <w:tcPr>
            <w:tcW w:w="280" w:type="dxa"/>
            <w:vAlign w:val="bottom"/>
            <w:tcBorders>
              <w:top w:val="single" w:sz="8" w:color="0000EE"/>
            </w:tcBorders>
            <w:shd w:val="clear" w:color="auto" w:fill="CCEEFF"/>
          </w:tcPr>
          <w:p>
            <w:pPr>
              <w:spacing w:after="0"/>
              <w:rPr>
                <w:sz w:val="10"/>
                <w:szCs w:val="10"/>
                <w:color w:val="auto"/>
              </w:rPr>
            </w:pPr>
          </w:p>
        </w:tc>
        <w:tc>
          <w:tcPr>
            <w:tcW w:w="20" w:type="dxa"/>
            <w:vAlign w:val="bottom"/>
            <w:tcBorders>
              <w:top w:val="single" w:sz="8" w:color="0000EE"/>
            </w:tcBorders>
            <w:shd w:val="clear" w:color="auto" w:fill="CCEEFF"/>
          </w:tcPr>
          <w:p>
            <w:pPr>
              <w:spacing w:after="0"/>
              <w:rPr>
                <w:sz w:val="10"/>
                <w:szCs w:val="10"/>
                <w:color w:val="auto"/>
              </w:rPr>
            </w:pPr>
          </w:p>
        </w:tc>
        <w:tc>
          <w:tcPr>
            <w:tcW w:w="180" w:type="dxa"/>
            <w:vAlign w:val="bottom"/>
            <w:tcBorders>
              <w:top w:val="single" w:sz="8" w:color="0000EE"/>
            </w:tcBorders>
            <w:shd w:val="clear" w:color="auto" w:fill="CCEEFF"/>
          </w:tcPr>
          <w:p>
            <w:pPr>
              <w:spacing w:after="0"/>
              <w:rPr>
                <w:sz w:val="10"/>
                <w:szCs w:val="10"/>
                <w:color w:val="auto"/>
              </w:rPr>
            </w:pPr>
          </w:p>
        </w:tc>
        <w:tc>
          <w:tcPr>
            <w:tcW w:w="240" w:type="dxa"/>
            <w:vAlign w:val="bottom"/>
            <w:tcBorders>
              <w:top w:val="single" w:sz="8" w:color="0000EE"/>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CCEEFF"/>
            </w:tcBorders>
            <w:shd w:val="clear" w:color="auto" w:fill="CCEEFF"/>
          </w:tcPr>
          <w:p>
            <w:pPr>
              <w:spacing w:after="0"/>
              <w:rPr>
                <w:sz w:val="10"/>
                <w:szCs w:val="10"/>
                <w:color w:val="auto"/>
              </w:rPr>
            </w:pPr>
          </w:p>
        </w:tc>
        <w:tc>
          <w:tcPr>
            <w:tcW w:w="132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right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r>
      <w:tr>
        <w:trPr>
          <w:trHeight w:val="175"/>
        </w:trPr>
        <w:tc>
          <w:tcPr>
            <w:tcW w:w="1300" w:type="dxa"/>
            <w:vAlign w:val="bottom"/>
            <w:gridSpan w:val="2"/>
          </w:tcPr>
          <w:p>
            <w:pPr>
              <w:jc w:val="right"/>
              <w:ind w:right="520"/>
              <w:spacing w:after="0" w:line="176" w:lineRule="exact"/>
              <w:rPr>
                <w:sz w:val="20"/>
                <w:szCs w:val="20"/>
                <w:color w:val="auto"/>
              </w:rPr>
            </w:pPr>
            <w:r>
              <w:rPr>
                <w:rFonts w:ascii="Arial" w:cs="Arial" w:eastAsia="Arial" w:hAnsi="Arial"/>
                <w:sz w:val="18"/>
                <w:szCs w:val="18"/>
                <w:color w:val="auto"/>
              </w:rPr>
              <w:t>10.10</w:t>
            </w:r>
            <w:r>
              <w:rPr>
                <w:rFonts w:ascii="Arial" w:cs="Arial" w:eastAsia="Arial" w:hAnsi="Arial"/>
                <w:sz w:val="18"/>
                <w:szCs w:val="18"/>
                <w:i w:val="1"/>
                <w:iCs w:val="1"/>
                <w:color w:val="auto"/>
              </w:rPr>
              <w:t>†</w:t>
            </w:r>
          </w:p>
        </w:tc>
        <w:tc>
          <w:tcPr>
            <w:tcW w:w="7660" w:type="dxa"/>
            <w:vAlign w:val="bottom"/>
            <w:tcBorders>
              <w:bottom w:val="single" w:sz="8" w:color="0000EE"/>
            </w:tcBorders>
            <w:gridSpan w:val="34"/>
          </w:tcPr>
          <w:p>
            <w:pPr>
              <w:spacing w:after="0" w:line="176" w:lineRule="exact"/>
              <w:rPr>
                <w:rFonts w:ascii="Arial" w:cs="Arial" w:eastAsia="Arial" w:hAnsi="Arial"/>
                <w:sz w:val="18"/>
                <w:szCs w:val="18"/>
                <w:color w:val="0000EE"/>
                <w:w w:val="91"/>
              </w:rPr>
            </w:pPr>
            <w:hyperlink r:id="rId133">
              <w:r>
                <w:rPr>
                  <w:rFonts w:ascii="Arial" w:cs="Arial" w:eastAsia="Arial" w:hAnsi="Arial"/>
                  <w:sz w:val="18"/>
                  <w:szCs w:val="18"/>
                  <w:color w:val="0000EE"/>
                  <w:w w:val="91"/>
                </w:rPr>
                <w:t>Employment Offer Letter to J. Mark Bunch dated February 21, 2023 (incorporated by reference to Exhibit</w:t>
              </w:r>
            </w:hyperlink>
          </w:p>
        </w:tc>
        <w:tc>
          <w:tcPr>
            <w:tcW w:w="160" w:type="dxa"/>
            <w:vAlign w:val="bottom"/>
            <w:gridSpan w:val="4"/>
          </w:tcPr>
          <w:p>
            <w:pPr>
              <w:spacing w:after="0"/>
              <w:rPr>
                <w:sz w:val="15"/>
                <w:szCs w:val="15"/>
                <w:color w:val="auto"/>
              </w:rPr>
            </w:pPr>
          </w:p>
        </w:tc>
      </w:tr>
      <w:tr>
        <w:trPr>
          <w:trHeight w:val="196"/>
        </w:trPr>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20" w:type="dxa"/>
            <w:vAlign w:val="bottom"/>
            <w:gridSpan w:val="38"/>
          </w:tcPr>
          <w:p>
            <w:pPr>
              <w:spacing w:after="0" w:line="196" w:lineRule="exact"/>
              <w:rPr>
                <w:rFonts w:ascii="Arial" w:cs="Arial" w:eastAsia="Arial" w:hAnsi="Arial"/>
                <w:sz w:val="18"/>
                <w:szCs w:val="18"/>
                <w:color w:val="0000EE"/>
              </w:rPr>
            </w:pPr>
            <w:hyperlink r:id="rId133">
              <w:r>
                <w:rPr>
                  <w:rFonts w:ascii="Arial" w:cs="Arial" w:eastAsia="Arial" w:hAnsi="Arial"/>
                  <w:sz w:val="18"/>
                  <w:szCs w:val="18"/>
                  <w:color w:val="0000EE"/>
                </w:rPr>
                <w:t>10.</w:t>
              </w:r>
              <w:r>
                <w:rPr>
                  <w:rFonts w:ascii="Arial" w:cs="Arial" w:eastAsia="Arial" w:hAnsi="Arial"/>
                  <w:sz w:val="18"/>
                  <w:szCs w:val="18"/>
                  <w:u w:val="single" w:color="auto"/>
                  <w:color w:val="0000EE"/>
                </w:rPr>
                <w:t>10</w:t>
              </w:r>
              <w:r>
                <w:rPr>
                  <w:rFonts w:ascii="Arial" w:cs="Arial" w:eastAsia="Arial" w:hAnsi="Arial"/>
                  <w:sz w:val="18"/>
                  <w:szCs w:val="18"/>
                  <w:color w:val="0000EE"/>
                </w:rPr>
                <w:t xml:space="preserve"> of our Quarterly Report on Form 10-Q filed May 10, 2023)</w:t>
              </w:r>
            </w:hyperlink>
          </w:p>
        </w:tc>
      </w:tr>
      <w:tr>
        <w:trPr>
          <w:trHeight w:val="115"/>
        </w:trPr>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Borders>
              <w:top w:val="single" w:sz="8" w:color="0000EE"/>
            </w:tcBorders>
          </w:tcPr>
          <w:p>
            <w:pPr>
              <w:spacing w:after="0"/>
              <w:rPr>
                <w:sz w:val="10"/>
                <w:szCs w:val="10"/>
                <w:color w:val="auto"/>
              </w:rPr>
            </w:pPr>
          </w:p>
        </w:tc>
        <w:tc>
          <w:tcPr>
            <w:tcW w:w="58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700" w:type="dxa"/>
            <w:vAlign w:val="bottom"/>
            <w:tcBorders>
              <w:top w:val="single" w:sz="8" w:color="0000EE"/>
            </w:tcBorders>
          </w:tcPr>
          <w:p>
            <w:pPr>
              <w:spacing w:after="0"/>
              <w:rPr>
                <w:sz w:val="10"/>
                <w:szCs w:val="10"/>
                <w:color w:val="auto"/>
              </w:rPr>
            </w:pPr>
          </w:p>
        </w:tc>
        <w:tc>
          <w:tcPr>
            <w:tcW w:w="60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62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28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24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4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5"/>
        </w:trPr>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14.1</w:t>
            </w:r>
          </w:p>
        </w:tc>
        <w:tc>
          <w:tcPr>
            <w:tcW w:w="480" w:type="dxa"/>
            <w:vAlign w:val="bottom"/>
            <w:tcBorders>
              <w:right w:val="single" w:sz="8" w:color="CCEEFF"/>
            </w:tcBorders>
            <w:shd w:val="clear" w:color="auto" w:fill="CCEEFF"/>
          </w:tcPr>
          <w:p>
            <w:pPr>
              <w:spacing w:after="0"/>
              <w:rPr>
                <w:sz w:val="15"/>
                <w:szCs w:val="15"/>
                <w:color w:val="auto"/>
              </w:rPr>
            </w:pPr>
          </w:p>
        </w:tc>
        <w:tc>
          <w:tcPr>
            <w:tcW w:w="7820" w:type="dxa"/>
            <w:vAlign w:val="bottom"/>
            <w:gridSpan w:val="38"/>
            <w:shd w:val="clear" w:color="auto" w:fill="CCEEFF"/>
          </w:tcPr>
          <w:p>
            <w:pPr>
              <w:spacing w:after="0" w:line="176" w:lineRule="exact"/>
              <w:rPr>
                <w:rFonts w:ascii="Arial" w:cs="Arial" w:eastAsia="Arial" w:hAnsi="Arial"/>
                <w:sz w:val="18"/>
                <w:szCs w:val="18"/>
                <w:color w:val="0000EE"/>
                <w:w w:val="93"/>
              </w:rPr>
            </w:pPr>
            <w:hyperlink r:id="rId134">
              <w:r>
                <w:rPr>
                  <w:rFonts w:ascii="Arial" w:cs="Arial" w:eastAsia="Arial" w:hAnsi="Arial"/>
                  <w:sz w:val="18"/>
                  <w:szCs w:val="18"/>
                  <w:color w:val="0000EE"/>
                  <w:w w:val="93"/>
                </w:rPr>
                <w:t>Code of Business Conduct and Ethics (incorporated by reference to Exhibit 14.1 of our Annual Report on</w:t>
              </w:r>
            </w:hyperlink>
          </w:p>
        </w:tc>
      </w:tr>
      <w:tr>
        <w:trPr>
          <w:trHeight w:val="244"/>
        </w:trPr>
        <w:tc>
          <w:tcPr>
            <w:tcW w:w="8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2740" w:type="dxa"/>
            <w:vAlign w:val="bottom"/>
            <w:tcBorders>
              <w:top w:val="single" w:sz="8" w:color="0000EE"/>
              <w:bottom w:val="single" w:sz="8" w:color="0000EE"/>
            </w:tcBorders>
            <w:gridSpan w:val="5"/>
            <w:shd w:val="clear" w:color="auto" w:fill="CCEEFF"/>
          </w:tcPr>
          <w:p>
            <w:pPr>
              <w:spacing w:after="0" w:line="196" w:lineRule="exact"/>
              <w:rPr>
                <w:rFonts w:ascii="Arial" w:cs="Arial" w:eastAsia="Arial" w:hAnsi="Arial"/>
                <w:sz w:val="18"/>
                <w:szCs w:val="18"/>
                <w:color w:val="0000EE"/>
                <w:w w:val="91"/>
              </w:rPr>
            </w:pPr>
            <w:hyperlink r:id="rId134">
              <w:r>
                <w:rPr>
                  <w:rFonts w:ascii="Arial" w:cs="Arial" w:eastAsia="Arial" w:hAnsi="Arial"/>
                  <w:sz w:val="18"/>
                  <w:szCs w:val="18"/>
                  <w:color w:val="0000EE"/>
                  <w:w w:val="91"/>
                </w:rPr>
                <w:t>Form 10-K filed September 14, 2021)</w:t>
              </w:r>
            </w:hyperlink>
          </w:p>
        </w:tc>
        <w:tc>
          <w:tcPr>
            <w:tcW w:w="4860" w:type="dxa"/>
            <w:vAlign w:val="bottom"/>
            <w:tcBorders>
              <w:top w:val="single" w:sz="8" w:color="0000EE"/>
              <w:bottom w:val="single" w:sz="8" w:color="CCEEFF"/>
            </w:tcBorders>
            <w:gridSpan w:val="27"/>
            <w:shd w:val="clear" w:color="auto" w:fill="CCEEFF"/>
          </w:tcPr>
          <w:p>
            <w:pPr>
              <w:spacing w:after="0"/>
              <w:rPr>
                <w:sz w:val="21"/>
                <w:szCs w:val="21"/>
                <w:color w:val="auto"/>
              </w:rPr>
            </w:pPr>
          </w:p>
        </w:tc>
        <w:tc>
          <w:tcPr>
            <w:tcW w:w="220" w:type="dxa"/>
            <w:vAlign w:val="bottom"/>
            <w:tcBorders>
              <w:top w:val="single" w:sz="8" w:color="CCEEFF"/>
              <w:bottom w:val="single" w:sz="8" w:color="CCEEFF"/>
            </w:tcBorders>
            <w:gridSpan w:val="6"/>
            <w:shd w:val="clear" w:color="auto" w:fill="CCEEFF"/>
          </w:tcPr>
          <w:p>
            <w:pPr>
              <w:spacing w:after="0"/>
              <w:rPr>
                <w:sz w:val="21"/>
                <w:szCs w:val="21"/>
                <w:color w:val="auto"/>
              </w:rPr>
            </w:pPr>
          </w:p>
        </w:tc>
      </w:tr>
      <w:tr>
        <w:trPr>
          <w:trHeight w:val="175"/>
        </w:trPr>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21.1*</w:t>
            </w:r>
          </w:p>
        </w:tc>
        <w:tc>
          <w:tcPr>
            <w:tcW w:w="480" w:type="dxa"/>
            <w:vAlign w:val="bottom"/>
          </w:tcPr>
          <w:p>
            <w:pPr>
              <w:spacing w:after="0"/>
              <w:rPr>
                <w:sz w:val="15"/>
                <w:szCs w:val="15"/>
                <w:color w:val="auto"/>
              </w:rPr>
            </w:pPr>
          </w:p>
        </w:tc>
        <w:tc>
          <w:tcPr>
            <w:tcW w:w="7820" w:type="dxa"/>
            <w:vAlign w:val="bottom"/>
            <w:gridSpan w:val="38"/>
          </w:tcPr>
          <w:p>
            <w:pPr>
              <w:spacing w:after="0" w:line="176" w:lineRule="exact"/>
              <w:rPr>
                <w:sz w:val="20"/>
                <w:szCs w:val="20"/>
                <w:color w:val="auto"/>
              </w:rPr>
            </w:pPr>
            <w:r>
              <w:rPr>
                <w:rFonts w:ascii="Arial" w:cs="Arial" w:eastAsia="Arial" w:hAnsi="Arial"/>
                <w:sz w:val="18"/>
                <w:szCs w:val="18"/>
                <w:color w:val="0000EE"/>
              </w:rPr>
              <w:t>List of Subsidiaries of Evolution Petroleum Corporation</w:t>
            </w:r>
          </w:p>
        </w:tc>
      </w:tr>
      <w:tr>
        <w:trPr>
          <w:trHeight w:val="48"/>
        </w:trPr>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70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75"/>
        </w:trPr>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23.1*</w:t>
            </w:r>
          </w:p>
        </w:tc>
        <w:tc>
          <w:tcPr>
            <w:tcW w:w="480" w:type="dxa"/>
            <w:vAlign w:val="bottom"/>
            <w:tcBorders>
              <w:right w:val="single" w:sz="8" w:color="CCEEFF"/>
            </w:tcBorders>
            <w:shd w:val="clear" w:color="auto" w:fill="CCEEFF"/>
          </w:tcPr>
          <w:p>
            <w:pPr>
              <w:spacing w:after="0"/>
              <w:rPr>
                <w:sz w:val="15"/>
                <w:szCs w:val="15"/>
                <w:color w:val="auto"/>
              </w:rPr>
            </w:pPr>
          </w:p>
        </w:tc>
        <w:tc>
          <w:tcPr>
            <w:tcW w:w="7820" w:type="dxa"/>
            <w:vAlign w:val="bottom"/>
            <w:gridSpan w:val="38"/>
            <w:shd w:val="clear" w:color="auto" w:fill="CCEEFF"/>
          </w:tcPr>
          <w:p>
            <w:pPr>
              <w:spacing w:after="0" w:line="176" w:lineRule="exact"/>
              <w:rPr>
                <w:sz w:val="20"/>
                <w:szCs w:val="20"/>
                <w:color w:val="auto"/>
              </w:rPr>
            </w:pPr>
            <w:r>
              <w:rPr>
                <w:rFonts w:ascii="Arial" w:cs="Arial" w:eastAsia="Arial" w:hAnsi="Arial"/>
                <w:sz w:val="18"/>
                <w:szCs w:val="18"/>
                <w:color w:val="0000EE"/>
              </w:rPr>
              <w:t>Consent of Moss Adams LLP</w:t>
            </w:r>
          </w:p>
        </w:tc>
      </w:tr>
      <w:tr>
        <w:trPr>
          <w:trHeight w:val="48"/>
        </w:trPr>
        <w:tc>
          <w:tcPr>
            <w:tcW w:w="8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right w:val="single" w:sz="8" w:color="CCEEFF"/>
            </w:tcBorders>
            <w:shd w:val="clear" w:color="auto" w:fill="CCEEFF"/>
          </w:tcPr>
          <w:p>
            <w:pPr>
              <w:spacing w:after="0"/>
              <w:rPr>
                <w:sz w:val="4"/>
                <w:szCs w:val="4"/>
                <w:color w:val="auto"/>
              </w:rPr>
            </w:pPr>
          </w:p>
        </w:tc>
        <w:tc>
          <w:tcPr>
            <w:tcW w:w="70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175"/>
        </w:trPr>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23.2*</w:t>
            </w:r>
          </w:p>
        </w:tc>
        <w:tc>
          <w:tcPr>
            <w:tcW w:w="480" w:type="dxa"/>
            <w:vAlign w:val="bottom"/>
          </w:tcPr>
          <w:p>
            <w:pPr>
              <w:spacing w:after="0"/>
              <w:rPr>
                <w:sz w:val="15"/>
                <w:szCs w:val="15"/>
                <w:color w:val="auto"/>
              </w:rPr>
            </w:pPr>
          </w:p>
        </w:tc>
        <w:tc>
          <w:tcPr>
            <w:tcW w:w="7820" w:type="dxa"/>
            <w:vAlign w:val="bottom"/>
            <w:gridSpan w:val="38"/>
          </w:tcPr>
          <w:p>
            <w:pPr>
              <w:spacing w:after="0" w:line="176" w:lineRule="exact"/>
              <w:rPr>
                <w:sz w:val="20"/>
                <w:szCs w:val="20"/>
                <w:color w:val="auto"/>
              </w:rPr>
            </w:pPr>
            <w:r>
              <w:rPr>
                <w:rFonts w:ascii="Arial" w:cs="Arial" w:eastAsia="Arial" w:hAnsi="Arial"/>
                <w:sz w:val="18"/>
                <w:szCs w:val="18"/>
                <w:color w:val="0000EE"/>
              </w:rPr>
              <w:t>Consent of Netherland, Sewell &amp; Associates, Inc.</w:t>
            </w:r>
          </w:p>
        </w:tc>
      </w:tr>
      <w:tr>
        <w:trPr>
          <w:trHeight w:val="48"/>
        </w:trPr>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70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76"/>
        </w:trPr>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23.3*</w:t>
            </w:r>
          </w:p>
        </w:tc>
        <w:tc>
          <w:tcPr>
            <w:tcW w:w="480" w:type="dxa"/>
            <w:vAlign w:val="bottom"/>
            <w:tcBorders>
              <w:right w:val="single" w:sz="8" w:color="CCEEFF"/>
            </w:tcBorders>
            <w:shd w:val="clear" w:color="auto" w:fill="CCEEFF"/>
          </w:tcPr>
          <w:p>
            <w:pPr>
              <w:spacing w:after="0"/>
              <w:rPr>
                <w:sz w:val="15"/>
                <w:szCs w:val="15"/>
                <w:color w:val="auto"/>
              </w:rPr>
            </w:pPr>
          </w:p>
        </w:tc>
        <w:tc>
          <w:tcPr>
            <w:tcW w:w="7820" w:type="dxa"/>
            <w:vAlign w:val="bottom"/>
            <w:gridSpan w:val="38"/>
            <w:shd w:val="clear" w:color="auto" w:fill="CCEEFF"/>
          </w:tcPr>
          <w:p>
            <w:pPr>
              <w:spacing w:after="0" w:line="176" w:lineRule="exact"/>
              <w:rPr>
                <w:sz w:val="20"/>
                <w:szCs w:val="20"/>
                <w:color w:val="auto"/>
              </w:rPr>
            </w:pPr>
            <w:r>
              <w:rPr>
                <w:rFonts w:ascii="Arial" w:cs="Arial" w:eastAsia="Arial" w:hAnsi="Arial"/>
                <w:sz w:val="18"/>
                <w:szCs w:val="18"/>
                <w:color w:val="0000EE"/>
              </w:rPr>
              <w:t>Consent of DeGolyer &amp; MacNaughton</w:t>
            </w:r>
          </w:p>
        </w:tc>
      </w:tr>
      <w:tr>
        <w:trPr>
          <w:trHeight w:val="48"/>
        </w:trPr>
        <w:tc>
          <w:tcPr>
            <w:tcW w:w="8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right w:val="single" w:sz="8" w:color="CCEEFF"/>
            </w:tcBorders>
            <w:shd w:val="clear" w:color="auto" w:fill="CCEEFF"/>
          </w:tcPr>
          <w:p>
            <w:pPr>
              <w:spacing w:after="0"/>
              <w:rPr>
                <w:sz w:val="4"/>
                <w:szCs w:val="4"/>
                <w:color w:val="auto"/>
              </w:rPr>
            </w:pPr>
          </w:p>
        </w:tc>
        <w:tc>
          <w:tcPr>
            <w:tcW w:w="70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175"/>
        </w:trPr>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31.1*</w:t>
            </w:r>
          </w:p>
        </w:tc>
        <w:tc>
          <w:tcPr>
            <w:tcW w:w="480" w:type="dxa"/>
            <w:vAlign w:val="bottom"/>
          </w:tcPr>
          <w:p>
            <w:pPr>
              <w:spacing w:after="0"/>
              <w:rPr>
                <w:sz w:val="15"/>
                <w:szCs w:val="15"/>
                <w:color w:val="auto"/>
              </w:rPr>
            </w:pPr>
          </w:p>
        </w:tc>
        <w:tc>
          <w:tcPr>
            <w:tcW w:w="7440" w:type="dxa"/>
            <w:vAlign w:val="bottom"/>
            <w:tcBorders>
              <w:bottom w:val="single" w:sz="8" w:color="0000EE"/>
            </w:tcBorders>
            <w:gridSpan w:val="25"/>
          </w:tcPr>
          <w:p>
            <w:pPr>
              <w:spacing w:after="0" w:line="176" w:lineRule="exact"/>
              <w:rPr>
                <w:sz w:val="20"/>
                <w:szCs w:val="20"/>
                <w:color w:val="auto"/>
              </w:rPr>
            </w:pPr>
            <w:r>
              <w:rPr>
                <w:rFonts w:ascii="Arial" w:cs="Arial" w:eastAsia="Arial" w:hAnsi="Arial"/>
                <w:sz w:val="18"/>
                <w:szCs w:val="18"/>
                <w:color w:val="0000EE"/>
                <w:w w:val="92"/>
              </w:rPr>
              <w:t>Certification of Principal Executive Officer Pursuant to Rule 15D-14 of the Securities Exchange Act of</w:t>
            </w:r>
          </w:p>
        </w:tc>
        <w:tc>
          <w:tcPr>
            <w:tcW w:w="380" w:type="dxa"/>
            <w:vAlign w:val="bottom"/>
            <w:gridSpan w:val="13"/>
          </w:tcPr>
          <w:p>
            <w:pPr>
              <w:spacing w:after="0"/>
              <w:rPr>
                <w:sz w:val="15"/>
                <w:szCs w:val="15"/>
                <w:color w:val="auto"/>
              </w:rPr>
            </w:pPr>
          </w:p>
        </w:tc>
      </w:tr>
      <w:tr>
        <w:trPr>
          <w:trHeight w:val="196"/>
        </w:trPr>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20" w:type="dxa"/>
            <w:vAlign w:val="bottom"/>
            <w:gridSpan w:val="38"/>
          </w:tcPr>
          <w:p>
            <w:pPr>
              <w:spacing w:after="0" w:line="196" w:lineRule="exact"/>
              <w:rPr>
                <w:sz w:val="20"/>
                <w:szCs w:val="20"/>
                <w:color w:val="auto"/>
              </w:rPr>
            </w:pPr>
            <w:r>
              <w:rPr>
                <w:rFonts w:ascii="Arial" w:cs="Arial" w:eastAsia="Arial" w:hAnsi="Arial"/>
                <w:sz w:val="18"/>
                <w:szCs w:val="18"/>
                <w:color w:val="0000EE"/>
              </w:rPr>
              <w:t>1934, as Amended as Adopted Pursuant to Section 302 of the Sarbanes-Oxley Act of 2002</w:t>
            </w:r>
          </w:p>
        </w:tc>
      </w:tr>
      <w:tr>
        <w:trPr>
          <w:trHeight w:val="48"/>
        </w:trPr>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70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1320" w:type="dxa"/>
            <w:vAlign w:val="bottom"/>
            <w:tcBorders>
              <w:top w:val="single" w:sz="8" w:color="0000EE"/>
            </w:tcBorders>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75"/>
        </w:trPr>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31.2*</w:t>
            </w:r>
          </w:p>
        </w:tc>
        <w:tc>
          <w:tcPr>
            <w:tcW w:w="480" w:type="dxa"/>
            <w:vAlign w:val="bottom"/>
            <w:tcBorders>
              <w:right w:val="single" w:sz="8" w:color="CCEEFF"/>
            </w:tcBorders>
            <w:shd w:val="clear" w:color="auto" w:fill="CCEEFF"/>
          </w:tcPr>
          <w:p>
            <w:pPr>
              <w:spacing w:after="0"/>
              <w:rPr>
                <w:sz w:val="15"/>
                <w:szCs w:val="15"/>
                <w:color w:val="auto"/>
              </w:rPr>
            </w:pPr>
          </w:p>
        </w:tc>
        <w:tc>
          <w:tcPr>
            <w:tcW w:w="7820" w:type="dxa"/>
            <w:vAlign w:val="bottom"/>
            <w:gridSpan w:val="38"/>
            <w:shd w:val="clear" w:color="auto" w:fill="CCEEFF"/>
          </w:tcPr>
          <w:p>
            <w:pPr>
              <w:spacing w:after="0" w:line="176" w:lineRule="exact"/>
              <w:rPr>
                <w:sz w:val="20"/>
                <w:szCs w:val="20"/>
                <w:color w:val="auto"/>
              </w:rPr>
            </w:pPr>
            <w:r>
              <w:rPr>
                <w:rFonts w:ascii="Arial" w:cs="Arial" w:eastAsia="Arial" w:hAnsi="Arial"/>
                <w:sz w:val="18"/>
                <w:szCs w:val="18"/>
                <w:color w:val="0000EE"/>
                <w:w w:val="97"/>
              </w:rPr>
              <w:t>Certification of Principal Financial Officer Pursuant to Rule 15D-14 of the Securities Exchange Act of</w:t>
            </w:r>
          </w:p>
        </w:tc>
      </w:tr>
      <w:tr>
        <w:trPr>
          <w:trHeight w:val="196"/>
        </w:trPr>
        <w:tc>
          <w:tcPr>
            <w:tcW w:w="8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right w:val="single" w:sz="8" w:color="CCEEFF"/>
            </w:tcBorders>
            <w:shd w:val="clear" w:color="auto" w:fill="CCEEFF"/>
          </w:tcPr>
          <w:p>
            <w:pPr>
              <w:spacing w:after="0"/>
              <w:rPr>
                <w:sz w:val="17"/>
                <w:szCs w:val="17"/>
                <w:color w:val="auto"/>
              </w:rPr>
            </w:pPr>
          </w:p>
        </w:tc>
        <w:tc>
          <w:tcPr>
            <w:tcW w:w="7380" w:type="dxa"/>
            <w:vAlign w:val="bottom"/>
            <w:tcBorders>
              <w:top w:val="single" w:sz="8" w:color="0000EE"/>
            </w:tcBorders>
            <w:gridSpan w:val="23"/>
            <w:shd w:val="clear" w:color="auto" w:fill="CCEEFF"/>
          </w:tcPr>
          <w:p>
            <w:pPr>
              <w:spacing w:after="0" w:line="196" w:lineRule="exact"/>
              <w:rPr>
                <w:sz w:val="20"/>
                <w:szCs w:val="20"/>
                <w:color w:val="auto"/>
              </w:rPr>
            </w:pPr>
            <w:r>
              <w:rPr>
                <w:rFonts w:ascii="Arial" w:cs="Arial" w:eastAsia="Arial" w:hAnsi="Arial"/>
                <w:sz w:val="18"/>
                <w:szCs w:val="18"/>
                <w:color w:val="0000EE"/>
              </w:rPr>
              <w:t>1934, as Amended as Adopted Pursuant to Section 302 of the Sarbanes-Oxley Act of 2002</w:t>
            </w:r>
          </w:p>
        </w:tc>
        <w:tc>
          <w:tcPr>
            <w:tcW w:w="440" w:type="dxa"/>
            <w:vAlign w:val="bottom"/>
            <w:tcBorders>
              <w:top w:val="single" w:sz="8" w:color="CCEEFF"/>
            </w:tcBorders>
            <w:gridSpan w:val="15"/>
            <w:shd w:val="clear" w:color="auto" w:fill="CCEEFF"/>
          </w:tcPr>
          <w:p>
            <w:pPr>
              <w:spacing w:after="0"/>
              <w:rPr>
                <w:sz w:val="17"/>
                <w:szCs w:val="17"/>
                <w:color w:val="auto"/>
              </w:rPr>
            </w:pPr>
          </w:p>
        </w:tc>
      </w:tr>
      <w:tr>
        <w:trPr>
          <w:trHeight w:val="48"/>
        </w:trPr>
        <w:tc>
          <w:tcPr>
            <w:tcW w:w="8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right w:val="single" w:sz="8" w:color="CCEEFF"/>
            </w:tcBorders>
            <w:shd w:val="clear" w:color="auto" w:fill="CCEEFF"/>
          </w:tcPr>
          <w:p>
            <w:pPr>
              <w:spacing w:after="0"/>
              <w:rPr>
                <w:sz w:val="4"/>
                <w:szCs w:val="4"/>
                <w:color w:val="auto"/>
              </w:rPr>
            </w:pPr>
          </w:p>
        </w:tc>
        <w:tc>
          <w:tcPr>
            <w:tcW w:w="70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132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175"/>
        </w:trPr>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32.1**</w:t>
            </w:r>
          </w:p>
        </w:tc>
        <w:tc>
          <w:tcPr>
            <w:tcW w:w="480" w:type="dxa"/>
            <w:vAlign w:val="bottom"/>
          </w:tcPr>
          <w:p>
            <w:pPr>
              <w:spacing w:after="0"/>
              <w:rPr>
                <w:sz w:val="15"/>
                <w:szCs w:val="15"/>
                <w:color w:val="auto"/>
              </w:rPr>
            </w:pPr>
          </w:p>
        </w:tc>
        <w:tc>
          <w:tcPr>
            <w:tcW w:w="7500" w:type="dxa"/>
            <w:vAlign w:val="bottom"/>
            <w:tcBorders>
              <w:bottom w:val="single" w:sz="8" w:color="0000EE"/>
            </w:tcBorders>
            <w:gridSpan w:val="28"/>
          </w:tcPr>
          <w:p>
            <w:pPr>
              <w:spacing w:after="0" w:line="176" w:lineRule="exact"/>
              <w:rPr>
                <w:sz w:val="20"/>
                <w:szCs w:val="20"/>
                <w:color w:val="auto"/>
              </w:rPr>
            </w:pPr>
            <w:r>
              <w:rPr>
                <w:rFonts w:ascii="Arial" w:cs="Arial" w:eastAsia="Arial" w:hAnsi="Arial"/>
                <w:sz w:val="18"/>
                <w:szCs w:val="18"/>
                <w:color w:val="0000EE"/>
                <w:w w:val="91"/>
              </w:rPr>
              <w:t>Certification of Principal Executive Officer Pursuant to 18 U.S.C. Section 1350, as Adopted Pursuant to</w:t>
            </w:r>
          </w:p>
        </w:tc>
        <w:tc>
          <w:tcPr>
            <w:tcW w:w="320" w:type="dxa"/>
            <w:vAlign w:val="bottom"/>
            <w:gridSpan w:val="10"/>
          </w:tcPr>
          <w:p>
            <w:pPr>
              <w:spacing w:after="0"/>
              <w:rPr>
                <w:sz w:val="15"/>
                <w:szCs w:val="15"/>
                <w:color w:val="auto"/>
              </w:rPr>
            </w:pPr>
          </w:p>
        </w:tc>
      </w:tr>
      <w:tr>
        <w:trPr>
          <w:trHeight w:val="196"/>
        </w:trPr>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2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0"/>
              </w:rPr>
              <w:t>Section 906 of the Sarbanes-Oxley Act of 2002</w:t>
            </w:r>
          </w:p>
        </w:tc>
        <w:tc>
          <w:tcPr>
            <w:tcW w:w="4400" w:type="dxa"/>
            <w:vAlign w:val="bottom"/>
            <w:gridSpan w:val="31"/>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120"/>
          </w:cols>
          <w:pgMar w:left="1380" w:top="517" w:right="1399" w:bottom="1440" w:gutter="0" w:footer="0" w:header="0"/>
        </w:sect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372110</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type w:val="continuous"/>
        </w:sectPr>
      </w:pPr>
    </w:p>
    <w:bookmarkStart w:id="88" w:name="page89"/>
    <w:bookmarkEnd w:id="88"/>
    <w:p>
      <w:pPr>
        <w:ind w:left="12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4600" w:type="dxa"/>
            <w:vAlign w:val="bottom"/>
            <w:gridSpan w:val="7"/>
          </w:tcPr>
          <w:p>
            <w:pPr>
              <w:ind w:left="160"/>
              <w:spacing w:after="0"/>
              <w:rPr>
                <w:sz w:val="20"/>
                <w:szCs w:val="20"/>
                <w:color w:val="auto"/>
              </w:rPr>
            </w:pPr>
            <w:r>
              <w:rPr>
                <w:rFonts w:ascii="Arial" w:cs="Arial" w:eastAsia="Arial" w:hAnsi="Arial"/>
                <w:sz w:val="14"/>
                <w:szCs w:val="14"/>
                <w:b w:val="1"/>
                <w:bCs w:val="1"/>
                <w:color w:val="auto"/>
              </w:rPr>
              <w:t>DESCRIPTION</w:t>
            </w:r>
          </w:p>
        </w:tc>
      </w:tr>
      <w:tr>
        <w:trPr>
          <w:trHeight w:val="192"/>
        </w:trPr>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NUMBER</w:t>
            </w:r>
          </w:p>
        </w:tc>
        <w:tc>
          <w:tcPr>
            <w:tcW w:w="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75"/>
        </w:trPr>
        <w:tc>
          <w:tcPr>
            <w:tcW w:w="82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8"/>
                <w:szCs w:val="18"/>
                <w:color w:val="auto"/>
              </w:rPr>
              <w:t>32.2**</w:t>
            </w:r>
          </w:p>
        </w:tc>
        <w:tc>
          <w:tcPr>
            <w:tcW w:w="4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7820" w:type="dxa"/>
            <w:vAlign w:val="bottom"/>
            <w:tcBorders>
              <w:top w:val="single" w:sz="8" w:color="auto"/>
            </w:tcBorders>
            <w:gridSpan w:val="8"/>
            <w:shd w:val="clear" w:color="auto" w:fill="CCEEFF"/>
          </w:tcPr>
          <w:p>
            <w:pPr>
              <w:spacing w:after="0" w:line="175" w:lineRule="exact"/>
              <w:rPr>
                <w:sz w:val="20"/>
                <w:szCs w:val="20"/>
                <w:color w:val="auto"/>
              </w:rPr>
            </w:pPr>
            <w:r>
              <w:rPr>
                <w:rFonts w:ascii="Arial" w:cs="Arial" w:eastAsia="Arial" w:hAnsi="Arial"/>
                <w:sz w:val="18"/>
                <w:szCs w:val="18"/>
                <w:color w:val="0000EE"/>
                <w:w w:val="96"/>
              </w:rPr>
              <w:t>Certification of Principal Financial Officer Pursuant to 18 U.S.C. Section 1350, as Adopted Pursuant to</w:t>
            </w:r>
          </w:p>
        </w:tc>
      </w:tr>
      <w:tr>
        <w:trPr>
          <w:trHeight w:val="243"/>
        </w:trPr>
        <w:tc>
          <w:tcPr>
            <w:tcW w:w="8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420" w:type="dxa"/>
            <w:vAlign w:val="bottom"/>
            <w:tcBorders>
              <w:top w:val="single" w:sz="8" w:color="0000EE"/>
              <w:bottom w:val="single" w:sz="8" w:color="0000EE"/>
            </w:tcBorders>
            <w:gridSpan w:val="2"/>
            <w:shd w:val="clear" w:color="auto" w:fill="CCEEFF"/>
          </w:tcPr>
          <w:p>
            <w:pPr>
              <w:spacing w:after="0" w:line="196" w:lineRule="exact"/>
              <w:rPr>
                <w:sz w:val="20"/>
                <w:szCs w:val="20"/>
                <w:color w:val="auto"/>
              </w:rPr>
            </w:pPr>
            <w:r>
              <w:rPr>
                <w:rFonts w:ascii="Arial" w:cs="Arial" w:eastAsia="Arial" w:hAnsi="Arial"/>
                <w:sz w:val="18"/>
                <w:szCs w:val="18"/>
                <w:color w:val="0000EE"/>
                <w:w w:val="90"/>
              </w:rPr>
              <w:t>Section 906 of the Sarbanes-Oxley Act of 2002</w:t>
            </w:r>
          </w:p>
        </w:tc>
        <w:tc>
          <w:tcPr>
            <w:tcW w:w="4020" w:type="dxa"/>
            <w:vAlign w:val="bottom"/>
            <w:tcBorders>
              <w:top w:val="single" w:sz="8" w:color="0000EE"/>
              <w:bottom w:val="single" w:sz="8" w:color="CCEEFF"/>
            </w:tcBorders>
            <w:gridSpan w:val="4"/>
            <w:shd w:val="clear" w:color="auto" w:fill="CCEEFF"/>
          </w:tcPr>
          <w:p>
            <w:pPr>
              <w:spacing w:after="0"/>
              <w:rPr>
                <w:sz w:val="21"/>
                <w:szCs w:val="21"/>
                <w:color w:val="auto"/>
              </w:rPr>
            </w:pPr>
          </w:p>
        </w:tc>
        <w:tc>
          <w:tcPr>
            <w:tcW w:w="380" w:type="dxa"/>
            <w:vAlign w:val="bottom"/>
            <w:tcBorders>
              <w:top w:val="single" w:sz="8" w:color="CCEEFF"/>
              <w:bottom w:val="single" w:sz="8" w:color="CCEEFF"/>
            </w:tcBorders>
            <w:gridSpan w:val="2"/>
            <w:shd w:val="clear" w:color="auto" w:fill="CCEEFF"/>
          </w:tcPr>
          <w:p>
            <w:pPr>
              <w:spacing w:after="0"/>
              <w:rPr>
                <w:sz w:val="21"/>
                <w:szCs w:val="21"/>
                <w:color w:val="auto"/>
              </w:rPr>
            </w:pPr>
          </w:p>
        </w:tc>
      </w:tr>
      <w:tr>
        <w:trPr>
          <w:trHeight w:val="176"/>
        </w:trPr>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99.1*</w:t>
            </w: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180" w:type="dxa"/>
            <w:vAlign w:val="bottom"/>
            <w:tcBorders>
              <w:bottom w:val="single" w:sz="8" w:color="0000EE"/>
            </w:tcBorders>
            <w:gridSpan w:val="5"/>
          </w:tcPr>
          <w:p>
            <w:pPr>
              <w:spacing w:after="0" w:line="176" w:lineRule="exact"/>
              <w:rPr>
                <w:sz w:val="20"/>
                <w:szCs w:val="20"/>
                <w:color w:val="auto"/>
              </w:rPr>
            </w:pPr>
            <w:r>
              <w:rPr>
                <w:rFonts w:ascii="Arial" w:cs="Arial" w:eastAsia="Arial" w:hAnsi="Arial"/>
                <w:sz w:val="18"/>
                <w:szCs w:val="18"/>
                <w:color w:val="0000EE"/>
                <w:w w:val="90"/>
              </w:rPr>
              <w:t>The summary of Netherland, Sewell &amp; Associates, Inc.’s Report as of June 30, 2023, on oil and gas</w:t>
            </w:r>
          </w:p>
        </w:tc>
        <w:tc>
          <w:tcPr>
            <w:tcW w:w="640" w:type="dxa"/>
            <w:vAlign w:val="bottom"/>
            <w:gridSpan w:val="3"/>
          </w:tcPr>
          <w:p>
            <w:pPr>
              <w:spacing w:after="0"/>
              <w:rPr>
                <w:sz w:val="15"/>
                <w:szCs w:val="15"/>
                <w:color w:val="auto"/>
              </w:rPr>
            </w:pPr>
          </w:p>
        </w:tc>
      </w:tr>
      <w:tr>
        <w:trPr>
          <w:trHeight w:val="196"/>
        </w:trPr>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20" w:type="dxa"/>
            <w:vAlign w:val="bottom"/>
            <w:gridSpan w:val="8"/>
          </w:tcPr>
          <w:p>
            <w:pPr>
              <w:spacing w:after="0" w:line="196" w:lineRule="exact"/>
              <w:rPr>
                <w:sz w:val="20"/>
                <w:szCs w:val="20"/>
                <w:color w:val="auto"/>
              </w:rPr>
            </w:pPr>
            <w:r>
              <w:rPr>
                <w:rFonts w:ascii="Arial" w:cs="Arial" w:eastAsia="Arial" w:hAnsi="Arial"/>
                <w:sz w:val="18"/>
                <w:szCs w:val="18"/>
                <w:color w:val="0000EE"/>
              </w:rPr>
              <w:t>reserves (SEC Case) dated August 10, 2023 and certificate of qualification</w:t>
            </w:r>
          </w:p>
        </w:tc>
      </w:tr>
      <w:tr>
        <w:trPr>
          <w:trHeight w:val="48"/>
        </w:trPr>
        <w:tc>
          <w:tcPr>
            <w:tcW w:w="8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32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1160" w:type="dxa"/>
            <w:vAlign w:val="bottom"/>
            <w:tcBorders>
              <w:top w:val="single" w:sz="8" w:color="0000EE"/>
            </w:tcBorders>
          </w:tcPr>
          <w:p>
            <w:pPr>
              <w:spacing w:after="0"/>
              <w:rPr>
                <w:sz w:val="4"/>
                <w:szCs w:val="4"/>
                <w:color w:val="auto"/>
              </w:rPr>
            </w:pPr>
          </w:p>
        </w:tc>
        <w:tc>
          <w:tcPr>
            <w:tcW w:w="1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176"/>
        </w:trPr>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99.2*</w:t>
            </w: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2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0000EE"/>
                <w:w w:val="92"/>
              </w:rPr>
              <w:t>The summary of DeGolyer and MacNaughton’s Report as of June 30, 2023, on oil and gas reserves (SEC</w:t>
            </w:r>
          </w:p>
        </w:tc>
      </w:tr>
      <w:tr>
        <w:trPr>
          <w:trHeight w:val="243"/>
        </w:trPr>
        <w:tc>
          <w:tcPr>
            <w:tcW w:w="8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220" w:type="dxa"/>
            <w:vAlign w:val="bottom"/>
            <w:tcBorders>
              <w:top w:val="single" w:sz="8" w:color="0000EE"/>
              <w:bottom w:val="single" w:sz="8" w:color="0000EE"/>
            </w:tcBorders>
            <w:gridSpan w:val="3"/>
            <w:shd w:val="clear" w:color="auto" w:fill="CCEEFF"/>
          </w:tcPr>
          <w:p>
            <w:pPr>
              <w:spacing w:after="0" w:line="196" w:lineRule="exact"/>
              <w:rPr>
                <w:sz w:val="20"/>
                <w:szCs w:val="20"/>
                <w:color w:val="auto"/>
              </w:rPr>
            </w:pPr>
            <w:r>
              <w:rPr>
                <w:rFonts w:ascii="Arial" w:cs="Arial" w:eastAsia="Arial" w:hAnsi="Arial"/>
                <w:sz w:val="18"/>
                <w:szCs w:val="18"/>
                <w:color w:val="0000EE"/>
                <w:w w:val="91"/>
              </w:rPr>
              <w:t>Case) dated August 7, 2023 and certificate of qualification</w:t>
            </w:r>
          </w:p>
        </w:tc>
        <w:tc>
          <w:tcPr>
            <w:tcW w:w="3360" w:type="dxa"/>
            <w:vAlign w:val="bottom"/>
            <w:tcBorders>
              <w:top w:val="single" w:sz="8" w:color="0000EE"/>
              <w:bottom w:val="single" w:sz="8" w:color="CCEEFF"/>
            </w:tcBorders>
            <w:gridSpan w:val="4"/>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175"/>
        </w:trPr>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97*</w:t>
            </w: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20" w:type="dxa"/>
            <w:vAlign w:val="bottom"/>
            <w:gridSpan w:val="8"/>
          </w:tcPr>
          <w:p>
            <w:pPr>
              <w:spacing w:after="0" w:line="176" w:lineRule="exact"/>
              <w:rPr>
                <w:sz w:val="20"/>
                <w:szCs w:val="20"/>
                <w:color w:val="auto"/>
              </w:rPr>
            </w:pPr>
            <w:r>
              <w:rPr>
                <w:rFonts w:ascii="Arial" w:cs="Arial" w:eastAsia="Arial" w:hAnsi="Arial"/>
                <w:sz w:val="18"/>
                <w:szCs w:val="18"/>
                <w:color w:val="0000EE"/>
              </w:rPr>
              <w:t>Incentive Compensation Recoupment Policy</w:t>
            </w:r>
          </w:p>
        </w:tc>
      </w:tr>
      <w:tr>
        <w:trPr>
          <w:trHeight w:val="48"/>
        </w:trPr>
        <w:tc>
          <w:tcPr>
            <w:tcW w:w="8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322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43"/>
        </w:trPr>
        <w:tc>
          <w:tcPr>
            <w:tcW w:w="126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7"/>
              </w:rPr>
              <w:t>101.INS*</w:t>
            </w:r>
          </w:p>
        </w:tc>
        <w:tc>
          <w:tcPr>
            <w:tcW w:w="40" w:type="dxa"/>
            <w:vAlign w:val="bottom"/>
            <w:shd w:val="clear" w:color="auto" w:fill="CCEEFF"/>
          </w:tcPr>
          <w:p>
            <w:pPr>
              <w:spacing w:after="0"/>
              <w:rPr>
                <w:sz w:val="21"/>
                <w:szCs w:val="21"/>
                <w:color w:val="auto"/>
              </w:rPr>
            </w:pPr>
          </w:p>
        </w:tc>
        <w:tc>
          <w:tcPr>
            <w:tcW w:w="782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Inline XBRL Instance Document</w:t>
            </w:r>
          </w:p>
        </w:tc>
      </w:tr>
      <w:tr>
        <w:trPr>
          <w:trHeight w:val="237"/>
        </w:trPr>
        <w:tc>
          <w:tcPr>
            <w:tcW w:w="1260" w:type="dxa"/>
            <w:vAlign w:val="bottom"/>
            <w:gridSpan w:val="2"/>
          </w:tcPr>
          <w:p>
            <w:pPr>
              <w:jc w:val="center"/>
              <w:ind w:right="460"/>
              <w:spacing w:after="0"/>
              <w:rPr>
                <w:sz w:val="20"/>
                <w:szCs w:val="20"/>
                <w:color w:val="auto"/>
              </w:rPr>
            </w:pPr>
            <w:r>
              <w:rPr>
                <w:rFonts w:ascii="Arial" w:cs="Arial" w:eastAsia="Arial" w:hAnsi="Arial"/>
                <w:sz w:val="18"/>
                <w:szCs w:val="18"/>
                <w:color w:val="auto"/>
                <w:w w:val="94"/>
              </w:rPr>
              <w:t>101.SCH*</w:t>
            </w:r>
          </w:p>
        </w:tc>
        <w:tc>
          <w:tcPr>
            <w:tcW w:w="40" w:type="dxa"/>
            <w:vAlign w:val="bottom"/>
          </w:tcPr>
          <w:p>
            <w:pPr>
              <w:spacing w:after="0"/>
              <w:rPr>
                <w:sz w:val="20"/>
                <w:szCs w:val="20"/>
                <w:color w:val="auto"/>
              </w:rPr>
            </w:pPr>
          </w:p>
        </w:tc>
        <w:tc>
          <w:tcPr>
            <w:tcW w:w="782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49"/>
        </w:trPr>
        <w:tc>
          <w:tcPr>
            <w:tcW w:w="126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8"/>
              </w:rPr>
              <w:t>101.CAL*</w:t>
            </w:r>
          </w:p>
        </w:tc>
        <w:tc>
          <w:tcPr>
            <w:tcW w:w="40" w:type="dxa"/>
            <w:vAlign w:val="bottom"/>
            <w:shd w:val="clear" w:color="auto" w:fill="CCEEFF"/>
          </w:tcPr>
          <w:p>
            <w:pPr>
              <w:spacing w:after="0"/>
              <w:rPr>
                <w:sz w:val="21"/>
                <w:szCs w:val="21"/>
                <w:color w:val="auto"/>
              </w:rPr>
            </w:pPr>
          </w:p>
        </w:tc>
        <w:tc>
          <w:tcPr>
            <w:tcW w:w="782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37"/>
        </w:trPr>
        <w:tc>
          <w:tcPr>
            <w:tcW w:w="1260" w:type="dxa"/>
            <w:vAlign w:val="bottom"/>
            <w:gridSpan w:val="2"/>
          </w:tcPr>
          <w:p>
            <w:pPr>
              <w:jc w:val="center"/>
              <w:ind w:right="440"/>
              <w:spacing w:after="0"/>
              <w:rPr>
                <w:sz w:val="20"/>
                <w:szCs w:val="20"/>
                <w:color w:val="auto"/>
              </w:rPr>
            </w:pPr>
            <w:r>
              <w:rPr>
                <w:rFonts w:ascii="Arial" w:cs="Arial" w:eastAsia="Arial" w:hAnsi="Arial"/>
                <w:sz w:val="18"/>
                <w:szCs w:val="18"/>
                <w:color w:val="auto"/>
                <w:w w:val="94"/>
              </w:rPr>
              <w:t>101.DEF*</w:t>
            </w:r>
          </w:p>
        </w:tc>
        <w:tc>
          <w:tcPr>
            <w:tcW w:w="40" w:type="dxa"/>
            <w:vAlign w:val="bottom"/>
          </w:tcPr>
          <w:p>
            <w:pPr>
              <w:spacing w:after="0"/>
              <w:rPr>
                <w:sz w:val="20"/>
                <w:szCs w:val="20"/>
                <w:color w:val="auto"/>
              </w:rPr>
            </w:pPr>
          </w:p>
        </w:tc>
        <w:tc>
          <w:tcPr>
            <w:tcW w:w="782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49"/>
        </w:trPr>
        <w:tc>
          <w:tcPr>
            <w:tcW w:w="126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9"/>
              </w:rPr>
              <w:t>101.LAB*</w:t>
            </w:r>
          </w:p>
        </w:tc>
        <w:tc>
          <w:tcPr>
            <w:tcW w:w="40" w:type="dxa"/>
            <w:vAlign w:val="bottom"/>
            <w:shd w:val="clear" w:color="auto" w:fill="CCEEFF"/>
          </w:tcPr>
          <w:p>
            <w:pPr>
              <w:spacing w:after="0"/>
              <w:rPr>
                <w:sz w:val="21"/>
                <w:szCs w:val="21"/>
                <w:color w:val="auto"/>
              </w:rPr>
            </w:pPr>
          </w:p>
        </w:tc>
        <w:tc>
          <w:tcPr>
            <w:tcW w:w="782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7"/>
        </w:trPr>
        <w:tc>
          <w:tcPr>
            <w:tcW w:w="126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101.PRE*</w:t>
            </w:r>
          </w:p>
        </w:tc>
        <w:tc>
          <w:tcPr>
            <w:tcW w:w="40" w:type="dxa"/>
            <w:vAlign w:val="bottom"/>
          </w:tcPr>
          <w:p>
            <w:pPr>
              <w:spacing w:after="0"/>
              <w:rPr>
                <w:sz w:val="20"/>
                <w:szCs w:val="20"/>
                <w:color w:val="auto"/>
              </w:rPr>
            </w:pPr>
          </w:p>
        </w:tc>
        <w:tc>
          <w:tcPr>
            <w:tcW w:w="782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49"/>
        </w:trPr>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4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782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222885</wp:posOffset>
            </wp:positionV>
            <wp:extent cx="141414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 Attached hereto.</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 Furnished herewith.</w:t>
      </w:r>
    </w:p>
    <w:p>
      <w:pPr>
        <w:spacing w:after="0" w:line="117" w:lineRule="exact"/>
        <w:rPr>
          <w:sz w:val="20"/>
          <w:szCs w:val="20"/>
          <w:color w:val="auto"/>
        </w:rPr>
      </w:pPr>
    </w:p>
    <w:p>
      <w:pPr>
        <w:ind w:left="240" w:hanging="130"/>
        <w:spacing w:after="0"/>
        <w:tabs>
          <w:tab w:leader="none" w:pos="24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Indicates management contract or compensatory plan or arrangement</w:t>
      </w: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381" w:lineRule="exact"/>
        <w:rPr>
          <w:rFonts w:ascii="Arial" w:cs="Arial" w:eastAsia="Arial" w:hAnsi="Arial"/>
          <w:sz w:val="18"/>
          <w:szCs w:val="18"/>
          <w:i w:val="1"/>
          <w:iCs w:val="1"/>
          <w:color w:val="auto"/>
        </w:rPr>
      </w:pPr>
    </w:p>
    <w:p>
      <w:pPr>
        <w:ind w:left="4480"/>
        <w:spacing w:after="0"/>
        <w:rPr>
          <w:rFonts w:ascii="Arial" w:cs="Arial" w:eastAsia="Arial" w:hAnsi="Arial"/>
          <w:sz w:val="18"/>
          <w:szCs w:val="18"/>
          <w:i w:val="1"/>
          <w:iCs w:val="1"/>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357505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89" w:name="page90"/>
    <w:bookmarkEnd w:id="8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419"/>
        <w:spacing w:after="0" w:line="342" w:lineRule="auto"/>
        <w:rPr>
          <w:sz w:val="20"/>
          <w:szCs w:val="20"/>
          <w:color w:val="auto"/>
        </w:rPr>
      </w:pPr>
      <w:r>
        <w:rPr>
          <w:rFonts w:ascii="Arial" w:cs="Arial" w:eastAsia="Arial" w:hAnsi="Arial"/>
          <w:sz w:val="16"/>
          <w:szCs w:val="16"/>
          <w:color w:val="auto"/>
        </w:rPr>
        <w:t>In accordance with Section 13 or 15(d) of the Securities Exchange Act of 1934, the registrant caused this report to be signed on its behalf by the undersigned, thereunto duly authorized in the City of Houston, Texas, on the date indicated.</w:t>
      </w:r>
    </w:p>
    <w:p>
      <w:pPr>
        <w:spacing w:after="0" w:line="1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4420" w:type="dxa"/>
            <w:vAlign w:val="bottom"/>
            <w:gridSpan w:val="2"/>
          </w:tcPr>
          <w:p>
            <w:pPr>
              <w:ind w:left="1300"/>
              <w:spacing w:after="0"/>
              <w:rPr>
                <w:sz w:val="20"/>
                <w:szCs w:val="20"/>
                <w:color w:val="auto"/>
              </w:rPr>
            </w:pPr>
            <w:r>
              <w:rPr>
                <w:rFonts w:ascii="Arial" w:cs="Arial" w:eastAsia="Arial" w:hAnsi="Arial"/>
                <w:sz w:val="18"/>
                <w:szCs w:val="18"/>
                <w:b w:val="1"/>
                <w:bCs w:val="1"/>
                <w:color w:val="auto"/>
              </w:rPr>
              <w:t>Evolution Petroleum Corporation</w:t>
            </w:r>
          </w:p>
        </w:tc>
      </w:tr>
      <w:tr>
        <w:trPr>
          <w:trHeight w:val="527"/>
        </w:trPr>
        <w:tc>
          <w:tcPr>
            <w:tcW w:w="3240" w:type="dxa"/>
            <w:vAlign w:val="bottom"/>
          </w:tcPr>
          <w:p>
            <w:pPr>
              <w:spacing w:after="0"/>
              <w:rPr>
                <w:sz w:val="20"/>
                <w:szCs w:val="20"/>
                <w:color w:val="auto"/>
              </w:rPr>
            </w:pPr>
            <w:r>
              <w:rPr>
                <w:rFonts w:ascii="Arial" w:cs="Arial" w:eastAsia="Arial" w:hAnsi="Arial"/>
                <w:sz w:val="18"/>
                <w:szCs w:val="18"/>
                <w:color w:val="auto"/>
              </w:rPr>
              <w:t>Date: September 13, 2023</w:t>
            </w:r>
          </w:p>
        </w:tc>
        <w:tc>
          <w:tcPr>
            <w:tcW w:w="2200" w:type="dxa"/>
            <w:vAlign w:val="bottom"/>
          </w:tcPr>
          <w:p>
            <w:pPr>
              <w:ind w:left="1300"/>
              <w:spacing w:after="0"/>
              <w:rPr>
                <w:sz w:val="20"/>
                <w:szCs w:val="20"/>
                <w:color w:val="auto"/>
              </w:rPr>
            </w:pPr>
            <w:r>
              <w:rPr>
                <w:rFonts w:ascii="Arial" w:cs="Arial" w:eastAsia="Arial" w:hAnsi="Arial"/>
                <w:sz w:val="18"/>
                <w:szCs w:val="18"/>
                <w:color w:val="auto"/>
              </w:rPr>
              <w:t>By:</w:t>
            </w:r>
          </w:p>
        </w:tc>
        <w:tc>
          <w:tcPr>
            <w:tcW w:w="2220" w:type="dxa"/>
            <w:vAlign w:val="bottom"/>
          </w:tcPr>
          <w:p>
            <w:pPr>
              <w:ind w:left="660"/>
              <w:spacing w:after="0"/>
              <w:rPr>
                <w:sz w:val="20"/>
                <w:szCs w:val="20"/>
                <w:color w:val="auto"/>
              </w:rPr>
            </w:pPr>
            <w:r>
              <w:rPr>
                <w:rFonts w:ascii="Arial" w:cs="Arial" w:eastAsia="Arial" w:hAnsi="Arial"/>
                <w:sz w:val="18"/>
                <w:szCs w:val="18"/>
                <w:color w:val="auto"/>
                <w:w w:val="95"/>
              </w:rPr>
              <w:t>/s/ KELLY W. LOYD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0</wp:posOffset>
            </wp:positionV>
            <wp:extent cx="257175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8">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jc w:val="center"/>
        <w:ind w:left="4820"/>
        <w:spacing w:after="0"/>
        <w:rPr>
          <w:sz w:val="20"/>
          <w:szCs w:val="20"/>
          <w:color w:val="auto"/>
        </w:rPr>
      </w:pPr>
      <w:r>
        <w:rPr>
          <w:rFonts w:ascii="Arial" w:cs="Arial" w:eastAsia="Arial" w:hAnsi="Arial"/>
          <w:sz w:val="18"/>
          <w:szCs w:val="18"/>
          <w:i w:val="1"/>
          <w:iCs w:val="1"/>
          <w:color w:val="auto"/>
        </w:rPr>
        <w:t>Kelly W. Loyd</w:t>
      </w:r>
    </w:p>
    <w:p>
      <w:pPr>
        <w:spacing w:after="0" w:line="9" w:lineRule="exact"/>
        <w:rPr>
          <w:sz w:val="20"/>
          <w:szCs w:val="20"/>
          <w:color w:val="auto"/>
        </w:rPr>
      </w:pPr>
    </w:p>
    <w:p>
      <w:pPr>
        <w:jc w:val="center"/>
        <w:ind w:left="48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jc w:val="center"/>
        <w:ind w:left="4820"/>
        <w:spacing w:after="0"/>
        <w:rPr>
          <w:sz w:val="20"/>
          <w:szCs w:val="20"/>
          <w:color w:val="auto"/>
        </w:rPr>
      </w:pPr>
      <w:r>
        <w:rPr>
          <w:rFonts w:ascii="Arial" w:cs="Arial" w:eastAsia="Arial" w:hAnsi="Arial"/>
          <w:sz w:val="18"/>
          <w:szCs w:val="18"/>
          <w:i w:val="1"/>
          <w:iCs w:val="1"/>
          <w:color w:val="auto"/>
        </w:rPr>
        <w:t>(Principal Executive Officer) and Director</w:t>
      </w:r>
    </w:p>
    <w:p>
      <w:pPr>
        <w:spacing w:after="0" w:line="211"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color w:val="auto"/>
        </w:rPr>
        <w:t>In accordance with the Securities Exchange Act of 1934, this report has been signed below by the following persons on behalf of the registrant and in the capacities and on the dates indicated.</w:t>
      </w:r>
    </w:p>
    <w:p>
      <w:pPr>
        <w:spacing w:after="0" w:line="176"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2140" w:type="dxa"/>
            <w:vAlign w:val="bottom"/>
          </w:tcPr>
          <w:p>
            <w:pPr>
              <w:jc w:val="center"/>
              <w:ind w:right="592"/>
              <w:spacing w:after="0"/>
              <w:rPr>
                <w:sz w:val="20"/>
                <w:szCs w:val="20"/>
                <w:color w:val="auto"/>
              </w:rPr>
            </w:pPr>
            <w:r>
              <w:rPr>
                <w:rFonts w:ascii="Arial" w:cs="Arial" w:eastAsia="Arial" w:hAnsi="Arial"/>
                <w:sz w:val="14"/>
                <w:szCs w:val="14"/>
                <w:b w:val="1"/>
                <w:bCs w:val="1"/>
                <w:color w:val="auto"/>
                <w:w w:val="98"/>
              </w:rPr>
              <w:t>Date</w:t>
            </w: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3260" w:type="dxa"/>
            <w:vAlign w:val="bottom"/>
          </w:tcPr>
          <w:p>
            <w:pPr>
              <w:jc w:val="center"/>
              <w:ind w:left="211"/>
              <w:spacing w:after="0"/>
              <w:rPr>
                <w:sz w:val="20"/>
                <w:szCs w:val="20"/>
                <w:color w:val="auto"/>
              </w:rPr>
            </w:pPr>
            <w:r>
              <w:rPr>
                <w:rFonts w:ascii="Arial" w:cs="Arial" w:eastAsia="Arial" w:hAnsi="Arial"/>
                <w:sz w:val="14"/>
                <w:szCs w:val="14"/>
                <w:b w:val="1"/>
                <w:bCs w:val="1"/>
                <w:color w:val="auto"/>
                <w:w w:val="97"/>
              </w:rPr>
              <w:t>Title</w:t>
            </w:r>
          </w:p>
        </w:tc>
        <w:tc>
          <w:tcPr>
            <w:tcW w:w="0" w:type="dxa"/>
            <w:vAlign w:val="bottom"/>
          </w:tcPr>
          <w:p>
            <w:pPr>
              <w:spacing w:after="0"/>
              <w:rPr>
                <w:sz w:val="1"/>
                <w:szCs w:val="1"/>
                <w:color w:val="auto"/>
              </w:rPr>
            </w:pPr>
          </w:p>
        </w:tc>
      </w:tr>
      <w:tr>
        <w:trPr>
          <w:trHeight w:val="498"/>
        </w:trPr>
        <w:tc>
          <w:tcPr>
            <w:tcW w:w="2140" w:type="dxa"/>
            <w:vAlign w:val="bottom"/>
          </w:tcPr>
          <w:p>
            <w:pPr>
              <w:jc w:val="center"/>
              <w:ind w:right="592"/>
              <w:spacing w:after="0"/>
              <w:rPr>
                <w:sz w:val="20"/>
                <w:szCs w:val="20"/>
                <w:color w:val="auto"/>
              </w:rPr>
            </w:pPr>
            <w:r>
              <w:rPr>
                <w:rFonts w:ascii="Arial" w:cs="Arial" w:eastAsia="Arial" w:hAnsi="Arial"/>
                <w:sz w:val="18"/>
                <w:szCs w:val="18"/>
                <w:color w:val="auto"/>
                <w:w w:val="89"/>
              </w:rPr>
              <w:t>September 13, 2023</w:t>
            </w:r>
          </w:p>
        </w:tc>
        <w:tc>
          <w:tcPr>
            <w:tcW w:w="3000" w:type="dxa"/>
            <w:vAlign w:val="bottom"/>
          </w:tcPr>
          <w:p>
            <w:pPr>
              <w:jc w:val="center"/>
              <w:spacing w:after="0"/>
              <w:rPr>
                <w:sz w:val="20"/>
                <w:szCs w:val="20"/>
                <w:color w:val="auto"/>
              </w:rPr>
            </w:pPr>
            <w:r>
              <w:rPr>
                <w:rFonts w:ascii="Arial" w:cs="Arial" w:eastAsia="Arial" w:hAnsi="Arial"/>
                <w:sz w:val="18"/>
                <w:szCs w:val="18"/>
                <w:color w:val="auto"/>
                <w:w w:val="94"/>
              </w:rPr>
              <w:t>/s/ ROBERT S. HERLIN</w:t>
            </w:r>
          </w:p>
        </w:tc>
        <w:tc>
          <w:tcPr>
            <w:tcW w:w="3260" w:type="dxa"/>
            <w:vAlign w:val="bottom"/>
          </w:tcPr>
          <w:p>
            <w:pPr>
              <w:jc w:val="center"/>
              <w:ind w:left="211"/>
              <w:spacing w:after="0"/>
              <w:rPr>
                <w:sz w:val="20"/>
                <w:szCs w:val="20"/>
                <w:color w:val="auto"/>
              </w:rPr>
            </w:pPr>
            <w:r>
              <w:rPr>
                <w:rFonts w:ascii="Arial" w:cs="Arial" w:eastAsia="Arial" w:hAnsi="Arial"/>
                <w:sz w:val="18"/>
                <w:szCs w:val="18"/>
                <w:color w:val="auto"/>
                <w:w w:val="90"/>
              </w:rPr>
              <w:t>Chairman of the Board</w:t>
            </w:r>
          </w:p>
        </w:tc>
        <w:tc>
          <w:tcPr>
            <w:tcW w:w="0" w:type="dxa"/>
            <w:vAlign w:val="bottom"/>
          </w:tcPr>
          <w:p>
            <w:pPr>
              <w:spacing w:after="0"/>
              <w:rPr>
                <w:sz w:val="1"/>
                <w:szCs w:val="1"/>
                <w:color w:val="auto"/>
              </w:rPr>
            </w:pPr>
          </w:p>
        </w:tc>
      </w:tr>
      <w:tr>
        <w:trPr>
          <w:trHeight w:val="54"/>
        </w:trPr>
        <w:tc>
          <w:tcPr>
            <w:tcW w:w="2140" w:type="dxa"/>
            <w:vAlign w:val="bottom"/>
          </w:tcPr>
          <w:p>
            <w:pPr>
              <w:spacing w:after="0"/>
              <w:rPr>
                <w:sz w:val="4"/>
                <w:szCs w:val="4"/>
                <w:color w:val="auto"/>
              </w:rPr>
            </w:pPr>
          </w:p>
        </w:tc>
        <w:tc>
          <w:tcPr>
            <w:tcW w:w="3000" w:type="dxa"/>
            <w:vAlign w:val="bottom"/>
            <w:tcBorders>
              <w:bottom w:val="single" w:sz="8" w:color="auto"/>
            </w:tcBorders>
          </w:tcPr>
          <w:p>
            <w:pPr>
              <w:spacing w:after="0"/>
              <w:rPr>
                <w:sz w:val="4"/>
                <w:szCs w:val="4"/>
                <w:color w:val="auto"/>
              </w:rPr>
            </w:pPr>
          </w:p>
        </w:tc>
        <w:tc>
          <w:tcPr>
            <w:tcW w:w="3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140" w:type="dxa"/>
            <w:vAlign w:val="bottom"/>
          </w:tcPr>
          <w:p>
            <w:pPr>
              <w:spacing w:after="0"/>
              <w:rPr>
                <w:sz w:val="19"/>
                <w:szCs w:val="19"/>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92"/>
              </w:rPr>
              <w:t>Robert S. Herlin</w:t>
            </w:r>
          </w:p>
        </w:tc>
        <w:tc>
          <w:tcPr>
            <w:tcW w:w="3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1"/>
        </w:trPr>
        <w:tc>
          <w:tcPr>
            <w:tcW w:w="2140" w:type="dxa"/>
            <w:vAlign w:val="bottom"/>
          </w:tcPr>
          <w:p>
            <w:pPr>
              <w:jc w:val="center"/>
              <w:ind w:right="592"/>
              <w:spacing w:after="0"/>
              <w:rPr>
                <w:sz w:val="20"/>
                <w:szCs w:val="20"/>
                <w:color w:val="auto"/>
              </w:rPr>
            </w:pPr>
            <w:r>
              <w:rPr>
                <w:rFonts w:ascii="Arial" w:cs="Arial" w:eastAsia="Arial" w:hAnsi="Arial"/>
                <w:sz w:val="18"/>
                <w:szCs w:val="18"/>
                <w:color w:val="auto"/>
                <w:w w:val="89"/>
              </w:rPr>
              <w:t>September 13, 2023</w:t>
            </w: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KELLY W. LOYD</w:t>
            </w:r>
          </w:p>
        </w:tc>
        <w:tc>
          <w:tcPr>
            <w:tcW w:w="3260" w:type="dxa"/>
            <w:vAlign w:val="bottom"/>
          </w:tcPr>
          <w:p>
            <w:pPr>
              <w:jc w:val="center"/>
              <w:ind w:left="211"/>
              <w:spacing w:after="0"/>
              <w:rPr>
                <w:sz w:val="20"/>
                <w:szCs w:val="20"/>
                <w:color w:val="auto"/>
              </w:rPr>
            </w:pPr>
            <w:r>
              <w:rPr>
                <w:rFonts w:ascii="Arial" w:cs="Arial" w:eastAsia="Arial" w:hAnsi="Arial"/>
                <w:sz w:val="18"/>
                <w:szCs w:val="18"/>
                <w:color w:val="auto"/>
                <w:w w:val="91"/>
              </w:rPr>
              <w:t>President and Chief Executive</w:t>
            </w:r>
          </w:p>
        </w:tc>
        <w:tc>
          <w:tcPr>
            <w:tcW w:w="0" w:type="dxa"/>
            <w:vAlign w:val="bottom"/>
          </w:tcPr>
          <w:p>
            <w:pPr>
              <w:spacing w:after="0"/>
              <w:rPr>
                <w:sz w:val="1"/>
                <w:szCs w:val="1"/>
                <w:color w:val="auto"/>
              </w:rPr>
            </w:pPr>
          </w:p>
        </w:tc>
      </w:tr>
      <w:tr>
        <w:trPr>
          <w:trHeight w:val="188"/>
        </w:trPr>
        <w:tc>
          <w:tcPr>
            <w:tcW w:w="2140" w:type="dxa"/>
            <w:vAlign w:val="bottom"/>
          </w:tcPr>
          <w:p>
            <w:pPr>
              <w:spacing w:after="0"/>
              <w:rPr>
                <w:sz w:val="16"/>
                <w:szCs w:val="16"/>
                <w:color w:val="auto"/>
              </w:rPr>
            </w:pPr>
          </w:p>
        </w:tc>
        <w:tc>
          <w:tcPr>
            <w:tcW w:w="3000" w:type="dxa"/>
            <w:vAlign w:val="bottom"/>
          </w:tcPr>
          <w:p>
            <w:pPr>
              <w:jc w:val="center"/>
              <w:spacing w:after="0" w:line="189" w:lineRule="exact"/>
              <w:rPr>
                <w:sz w:val="20"/>
                <w:szCs w:val="20"/>
                <w:color w:val="auto"/>
              </w:rPr>
            </w:pPr>
            <w:r>
              <w:rPr>
                <w:rFonts w:ascii="Arial" w:cs="Arial" w:eastAsia="Arial" w:hAnsi="Arial"/>
                <w:sz w:val="18"/>
                <w:szCs w:val="18"/>
                <w:color w:val="auto"/>
                <w:w w:val="96"/>
              </w:rPr>
              <w:t>Kelly W. Loyd</w:t>
            </w:r>
          </w:p>
        </w:tc>
        <w:tc>
          <w:tcPr>
            <w:tcW w:w="3260" w:type="dxa"/>
            <w:vAlign w:val="bottom"/>
          </w:tcPr>
          <w:p>
            <w:pPr>
              <w:jc w:val="center"/>
              <w:ind w:left="211"/>
              <w:spacing w:after="0" w:line="189" w:lineRule="exact"/>
              <w:rPr>
                <w:sz w:val="20"/>
                <w:szCs w:val="20"/>
                <w:color w:val="auto"/>
              </w:rPr>
            </w:pPr>
            <w:r>
              <w:rPr>
                <w:rFonts w:ascii="Arial" w:cs="Arial" w:eastAsia="Arial" w:hAnsi="Arial"/>
                <w:sz w:val="18"/>
                <w:szCs w:val="18"/>
                <w:color w:val="auto"/>
                <w:w w:val="93"/>
              </w:rPr>
              <w:t>Officer (Principal Executive Officer) and</w:t>
            </w: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260" w:type="dxa"/>
            <w:vAlign w:val="bottom"/>
          </w:tcPr>
          <w:p>
            <w:pPr>
              <w:jc w:val="center"/>
              <w:ind w:left="211"/>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364"/>
        </w:trPr>
        <w:tc>
          <w:tcPr>
            <w:tcW w:w="2140" w:type="dxa"/>
            <w:vAlign w:val="bottom"/>
            <w:vMerge w:val="restart"/>
          </w:tcPr>
          <w:p>
            <w:pPr>
              <w:jc w:val="center"/>
              <w:ind w:right="592"/>
              <w:spacing w:after="0"/>
              <w:rPr>
                <w:sz w:val="20"/>
                <w:szCs w:val="20"/>
                <w:color w:val="auto"/>
              </w:rPr>
            </w:pPr>
            <w:r>
              <w:rPr>
                <w:rFonts w:ascii="Arial" w:cs="Arial" w:eastAsia="Arial" w:hAnsi="Arial"/>
                <w:sz w:val="18"/>
                <w:szCs w:val="18"/>
                <w:color w:val="auto"/>
                <w:w w:val="89"/>
              </w:rPr>
              <w:t>September 13, 2023</w:t>
            </w:r>
          </w:p>
        </w:tc>
        <w:tc>
          <w:tcPr>
            <w:tcW w:w="3000" w:type="dxa"/>
            <w:vAlign w:val="bottom"/>
            <w:vMerge w:val="restart"/>
          </w:tcPr>
          <w:p>
            <w:pPr>
              <w:jc w:val="center"/>
              <w:spacing w:after="0"/>
              <w:rPr>
                <w:sz w:val="20"/>
                <w:szCs w:val="20"/>
                <w:color w:val="auto"/>
              </w:rPr>
            </w:pPr>
            <w:r>
              <w:rPr>
                <w:rFonts w:ascii="Arial" w:cs="Arial" w:eastAsia="Arial" w:hAnsi="Arial"/>
                <w:sz w:val="18"/>
                <w:szCs w:val="18"/>
                <w:color w:val="auto"/>
                <w:w w:val="93"/>
              </w:rPr>
              <w:t>/s/ RYAN STASH</w:t>
            </w:r>
          </w:p>
        </w:tc>
        <w:tc>
          <w:tcPr>
            <w:tcW w:w="3260" w:type="dxa"/>
            <w:vAlign w:val="bottom"/>
          </w:tcPr>
          <w:p>
            <w:pPr>
              <w:jc w:val="center"/>
              <w:ind w:left="211"/>
              <w:spacing w:after="0"/>
              <w:rPr>
                <w:sz w:val="20"/>
                <w:szCs w:val="20"/>
                <w:color w:val="auto"/>
              </w:rPr>
            </w:pPr>
            <w:r>
              <w:rPr>
                <w:rFonts w:ascii="Arial" w:cs="Arial" w:eastAsia="Arial" w:hAnsi="Arial"/>
                <w:sz w:val="18"/>
                <w:szCs w:val="18"/>
                <w:color w:val="auto"/>
                <w:w w:val="91"/>
              </w:rPr>
              <w:t>Senior Vice President, Chief Financial</w:t>
            </w:r>
          </w:p>
        </w:tc>
        <w:tc>
          <w:tcPr>
            <w:tcW w:w="0" w:type="dxa"/>
            <w:vAlign w:val="bottom"/>
          </w:tcPr>
          <w:p>
            <w:pPr>
              <w:spacing w:after="0"/>
              <w:rPr>
                <w:sz w:val="1"/>
                <w:szCs w:val="1"/>
                <w:color w:val="auto"/>
              </w:rPr>
            </w:pPr>
          </w:p>
        </w:tc>
      </w:tr>
      <w:tr>
        <w:trPr>
          <w:trHeight w:val="208"/>
        </w:trPr>
        <w:tc>
          <w:tcPr>
            <w:tcW w:w="2140" w:type="dxa"/>
            <w:vAlign w:val="bottom"/>
            <w:vMerge w:val="continue"/>
          </w:tcPr>
          <w:p>
            <w:pPr>
              <w:spacing w:after="0"/>
              <w:rPr>
                <w:sz w:val="17"/>
                <w:szCs w:val="17"/>
                <w:color w:val="auto"/>
              </w:rPr>
            </w:pPr>
          </w:p>
        </w:tc>
        <w:tc>
          <w:tcPr>
            <w:tcW w:w="3000" w:type="dxa"/>
            <w:vAlign w:val="bottom"/>
            <w:tcBorders>
              <w:bottom w:val="single" w:sz="8" w:color="auto"/>
            </w:tcBorders>
            <w:vMerge w:val="continue"/>
          </w:tcPr>
          <w:p>
            <w:pPr>
              <w:spacing w:after="0"/>
              <w:rPr>
                <w:sz w:val="17"/>
                <w:szCs w:val="17"/>
                <w:color w:val="auto"/>
              </w:rPr>
            </w:pPr>
          </w:p>
        </w:tc>
        <w:tc>
          <w:tcPr>
            <w:tcW w:w="3260" w:type="dxa"/>
            <w:vAlign w:val="bottom"/>
          </w:tcPr>
          <w:p>
            <w:pPr>
              <w:jc w:val="center"/>
              <w:ind w:left="211"/>
              <w:spacing w:after="0" w:line="203" w:lineRule="exact"/>
              <w:rPr>
                <w:sz w:val="20"/>
                <w:szCs w:val="20"/>
                <w:color w:val="auto"/>
              </w:rPr>
            </w:pPr>
            <w:r>
              <w:rPr>
                <w:rFonts w:ascii="Arial" w:cs="Arial" w:eastAsia="Arial" w:hAnsi="Arial"/>
                <w:sz w:val="18"/>
                <w:szCs w:val="18"/>
                <w:color w:val="auto"/>
                <w:w w:val="92"/>
              </w:rPr>
              <w:t>Officer and Treasurer (Principal</w:t>
            </w:r>
          </w:p>
        </w:tc>
        <w:tc>
          <w:tcPr>
            <w:tcW w:w="0" w:type="dxa"/>
            <w:vAlign w:val="bottom"/>
          </w:tcPr>
          <w:p>
            <w:pPr>
              <w:spacing w:after="0"/>
              <w:rPr>
                <w:sz w:val="1"/>
                <w:szCs w:val="1"/>
                <w:color w:val="auto"/>
              </w:rPr>
            </w:pPr>
          </w:p>
        </w:tc>
      </w:tr>
      <w:tr>
        <w:trPr>
          <w:trHeight w:val="224"/>
        </w:trPr>
        <w:tc>
          <w:tcPr>
            <w:tcW w:w="2140" w:type="dxa"/>
            <w:vAlign w:val="bottom"/>
          </w:tcPr>
          <w:p>
            <w:pPr>
              <w:spacing w:after="0"/>
              <w:rPr>
                <w:sz w:val="19"/>
                <w:szCs w:val="19"/>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88"/>
              </w:rPr>
              <w:t>Ryan Stash</w:t>
            </w:r>
          </w:p>
        </w:tc>
        <w:tc>
          <w:tcPr>
            <w:tcW w:w="3260" w:type="dxa"/>
            <w:vAlign w:val="bottom"/>
          </w:tcPr>
          <w:p>
            <w:pPr>
              <w:jc w:val="center"/>
              <w:ind w:left="211"/>
              <w:spacing w:after="0"/>
              <w:rPr>
                <w:sz w:val="20"/>
                <w:szCs w:val="20"/>
                <w:color w:val="auto"/>
              </w:rPr>
            </w:pPr>
            <w:r>
              <w:rPr>
                <w:rFonts w:ascii="Arial" w:cs="Arial" w:eastAsia="Arial" w:hAnsi="Arial"/>
                <w:sz w:val="18"/>
                <w:szCs w:val="18"/>
                <w:color w:val="auto"/>
                <w:w w:val="94"/>
              </w:rPr>
              <w:t>Financial Officer)</w:t>
            </w:r>
          </w:p>
        </w:tc>
        <w:tc>
          <w:tcPr>
            <w:tcW w:w="0" w:type="dxa"/>
            <w:vAlign w:val="bottom"/>
          </w:tcPr>
          <w:p>
            <w:pPr>
              <w:spacing w:after="0"/>
              <w:rPr>
                <w:sz w:val="1"/>
                <w:szCs w:val="1"/>
                <w:color w:val="auto"/>
              </w:rPr>
            </w:pPr>
          </w:p>
        </w:tc>
      </w:tr>
      <w:tr>
        <w:trPr>
          <w:trHeight w:val="580"/>
        </w:trPr>
        <w:tc>
          <w:tcPr>
            <w:tcW w:w="2140" w:type="dxa"/>
            <w:vAlign w:val="bottom"/>
          </w:tcPr>
          <w:p>
            <w:pPr>
              <w:jc w:val="center"/>
              <w:ind w:right="592"/>
              <w:spacing w:after="0"/>
              <w:rPr>
                <w:sz w:val="20"/>
                <w:szCs w:val="20"/>
                <w:color w:val="auto"/>
              </w:rPr>
            </w:pPr>
            <w:r>
              <w:rPr>
                <w:rFonts w:ascii="Arial" w:cs="Arial" w:eastAsia="Arial" w:hAnsi="Arial"/>
                <w:sz w:val="18"/>
                <w:szCs w:val="18"/>
                <w:color w:val="auto"/>
                <w:w w:val="89"/>
              </w:rPr>
              <w:t>September 13, 2023</w:t>
            </w: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KELLY M. BEATTY</w:t>
            </w:r>
          </w:p>
        </w:tc>
        <w:tc>
          <w:tcPr>
            <w:tcW w:w="3260" w:type="dxa"/>
            <w:vAlign w:val="bottom"/>
          </w:tcPr>
          <w:p>
            <w:pPr>
              <w:jc w:val="center"/>
              <w:ind w:left="211"/>
              <w:spacing w:after="0"/>
              <w:rPr>
                <w:sz w:val="20"/>
                <w:szCs w:val="20"/>
                <w:color w:val="auto"/>
              </w:rPr>
            </w:pPr>
            <w:r>
              <w:rPr>
                <w:rFonts w:ascii="Arial" w:cs="Arial" w:eastAsia="Arial" w:hAnsi="Arial"/>
                <w:sz w:val="18"/>
                <w:szCs w:val="18"/>
                <w:color w:val="auto"/>
                <w:w w:val="93"/>
              </w:rPr>
              <w:t>Controller (Principal</w:t>
            </w:r>
          </w:p>
        </w:tc>
        <w:tc>
          <w:tcPr>
            <w:tcW w:w="0" w:type="dxa"/>
            <w:vAlign w:val="bottom"/>
          </w:tcPr>
          <w:p>
            <w:pPr>
              <w:spacing w:after="0"/>
              <w:rPr>
                <w:sz w:val="1"/>
                <w:szCs w:val="1"/>
                <w:color w:val="auto"/>
              </w:rPr>
            </w:pPr>
          </w:p>
        </w:tc>
      </w:tr>
      <w:tr>
        <w:trPr>
          <w:trHeight w:val="224"/>
        </w:trPr>
        <w:tc>
          <w:tcPr>
            <w:tcW w:w="2140" w:type="dxa"/>
            <w:vAlign w:val="bottom"/>
          </w:tcPr>
          <w:p>
            <w:pPr>
              <w:spacing w:after="0"/>
              <w:rPr>
                <w:sz w:val="19"/>
                <w:szCs w:val="19"/>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96"/>
              </w:rPr>
              <w:t>Kelly M. Beatty</w:t>
            </w:r>
          </w:p>
        </w:tc>
        <w:tc>
          <w:tcPr>
            <w:tcW w:w="3260" w:type="dxa"/>
            <w:vAlign w:val="bottom"/>
          </w:tcPr>
          <w:p>
            <w:pPr>
              <w:jc w:val="center"/>
              <w:ind w:left="211"/>
              <w:spacing w:after="0"/>
              <w:rPr>
                <w:sz w:val="20"/>
                <w:szCs w:val="20"/>
                <w:color w:val="auto"/>
              </w:rPr>
            </w:pPr>
            <w:r>
              <w:rPr>
                <w:rFonts w:ascii="Arial" w:cs="Arial" w:eastAsia="Arial" w:hAnsi="Arial"/>
                <w:sz w:val="18"/>
                <w:szCs w:val="18"/>
                <w:color w:val="auto"/>
                <w:w w:val="96"/>
              </w:rPr>
              <w:t>Accounting Officer)</w:t>
            </w:r>
          </w:p>
        </w:tc>
        <w:tc>
          <w:tcPr>
            <w:tcW w:w="0" w:type="dxa"/>
            <w:vAlign w:val="bottom"/>
          </w:tcPr>
          <w:p>
            <w:pPr>
              <w:spacing w:after="0"/>
              <w:rPr>
                <w:sz w:val="1"/>
                <w:szCs w:val="1"/>
                <w:color w:val="auto"/>
              </w:rPr>
            </w:pPr>
          </w:p>
        </w:tc>
      </w:tr>
      <w:tr>
        <w:trPr>
          <w:trHeight w:val="634"/>
        </w:trPr>
        <w:tc>
          <w:tcPr>
            <w:tcW w:w="2140" w:type="dxa"/>
            <w:vAlign w:val="bottom"/>
          </w:tcPr>
          <w:p>
            <w:pPr>
              <w:jc w:val="center"/>
              <w:ind w:right="592"/>
              <w:spacing w:after="0"/>
              <w:rPr>
                <w:sz w:val="20"/>
                <w:szCs w:val="20"/>
                <w:color w:val="auto"/>
              </w:rPr>
            </w:pPr>
            <w:r>
              <w:rPr>
                <w:rFonts w:ascii="Arial" w:cs="Arial" w:eastAsia="Arial" w:hAnsi="Arial"/>
                <w:sz w:val="18"/>
                <w:szCs w:val="18"/>
                <w:color w:val="auto"/>
                <w:w w:val="89"/>
              </w:rPr>
              <w:t>September 13, 2023</w:t>
            </w:r>
          </w:p>
        </w:tc>
        <w:tc>
          <w:tcPr>
            <w:tcW w:w="3000" w:type="dxa"/>
            <w:vAlign w:val="bottom"/>
          </w:tcPr>
          <w:p>
            <w:pPr>
              <w:jc w:val="center"/>
              <w:spacing w:after="0"/>
              <w:rPr>
                <w:sz w:val="20"/>
                <w:szCs w:val="20"/>
                <w:color w:val="auto"/>
              </w:rPr>
            </w:pPr>
            <w:r>
              <w:rPr>
                <w:rFonts w:ascii="Arial" w:cs="Arial" w:eastAsia="Arial" w:hAnsi="Arial"/>
                <w:sz w:val="18"/>
                <w:szCs w:val="18"/>
                <w:color w:val="auto"/>
                <w:w w:val="94"/>
              </w:rPr>
              <w:t>/s/ EDWARD J. DIPAOLO</w:t>
            </w:r>
          </w:p>
        </w:tc>
        <w:tc>
          <w:tcPr>
            <w:tcW w:w="3260" w:type="dxa"/>
            <w:vAlign w:val="bottom"/>
          </w:tcPr>
          <w:p>
            <w:pPr>
              <w:jc w:val="center"/>
              <w:ind w:left="211"/>
              <w:spacing w:after="0"/>
              <w:rPr>
                <w:sz w:val="20"/>
                <w:szCs w:val="20"/>
                <w:color w:val="auto"/>
              </w:rPr>
            </w:pPr>
            <w:r>
              <w:rPr>
                <w:rFonts w:ascii="Arial" w:cs="Arial" w:eastAsia="Arial" w:hAnsi="Arial"/>
                <w:sz w:val="18"/>
                <w:szCs w:val="18"/>
                <w:color w:val="auto"/>
                <w:w w:val="92"/>
              </w:rPr>
              <w:t>Lead Director</w:t>
            </w:r>
          </w:p>
        </w:tc>
        <w:tc>
          <w:tcPr>
            <w:tcW w:w="0" w:type="dxa"/>
            <w:vAlign w:val="bottom"/>
          </w:tcPr>
          <w:p>
            <w:pPr>
              <w:spacing w:after="0"/>
              <w:rPr>
                <w:sz w:val="1"/>
                <w:szCs w:val="1"/>
                <w:color w:val="auto"/>
              </w:rPr>
            </w:pPr>
          </w:p>
        </w:tc>
      </w:tr>
      <w:tr>
        <w:trPr>
          <w:trHeight w:val="27"/>
        </w:trPr>
        <w:tc>
          <w:tcPr>
            <w:tcW w:w="2140" w:type="dxa"/>
            <w:vAlign w:val="bottom"/>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3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140" w:type="dxa"/>
            <w:vAlign w:val="bottom"/>
          </w:tcPr>
          <w:p>
            <w:pPr>
              <w:spacing w:after="0"/>
              <w:rPr>
                <w:sz w:val="19"/>
                <w:szCs w:val="19"/>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90"/>
              </w:rPr>
              <w:t>Edward J. DiPaolo</w:t>
            </w:r>
          </w:p>
        </w:tc>
        <w:tc>
          <w:tcPr>
            <w:tcW w:w="3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4"/>
        </w:trPr>
        <w:tc>
          <w:tcPr>
            <w:tcW w:w="2140" w:type="dxa"/>
            <w:vAlign w:val="bottom"/>
          </w:tcPr>
          <w:p>
            <w:pPr>
              <w:jc w:val="center"/>
              <w:ind w:right="592"/>
              <w:spacing w:after="0"/>
              <w:rPr>
                <w:sz w:val="20"/>
                <w:szCs w:val="20"/>
                <w:color w:val="auto"/>
              </w:rPr>
            </w:pPr>
            <w:r>
              <w:rPr>
                <w:rFonts w:ascii="Arial" w:cs="Arial" w:eastAsia="Arial" w:hAnsi="Arial"/>
                <w:sz w:val="18"/>
                <w:szCs w:val="18"/>
                <w:color w:val="auto"/>
                <w:w w:val="89"/>
              </w:rPr>
              <w:t>September 13, 2023</w:t>
            </w:r>
          </w:p>
        </w:tc>
        <w:tc>
          <w:tcPr>
            <w:tcW w:w="3000" w:type="dxa"/>
            <w:vAlign w:val="bottom"/>
          </w:tcPr>
          <w:p>
            <w:pPr>
              <w:jc w:val="center"/>
              <w:spacing w:after="0"/>
              <w:rPr>
                <w:sz w:val="20"/>
                <w:szCs w:val="20"/>
                <w:color w:val="auto"/>
              </w:rPr>
            </w:pPr>
            <w:r>
              <w:rPr>
                <w:rFonts w:ascii="Arial" w:cs="Arial" w:eastAsia="Arial" w:hAnsi="Arial"/>
                <w:sz w:val="18"/>
                <w:szCs w:val="18"/>
                <w:color w:val="auto"/>
                <w:w w:val="98"/>
              </w:rPr>
              <w:t>/s/ MYRA C. BIERRIA</w:t>
            </w:r>
          </w:p>
        </w:tc>
        <w:tc>
          <w:tcPr>
            <w:tcW w:w="3260" w:type="dxa"/>
            <w:vAlign w:val="bottom"/>
          </w:tcPr>
          <w:p>
            <w:pPr>
              <w:jc w:val="center"/>
              <w:ind w:left="211"/>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7"/>
        </w:trPr>
        <w:tc>
          <w:tcPr>
            <w:tcW w:w="2140" w:type="dxa"/>
            <w:vAlign w:val="bottom"/>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3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140" w:type="dxa"/>
            <w:vAlign w:val="bottom"/>
          </w:tcPr>
          <w:p>
            <w:pPr>
              <w:spacing w:after="0"/>
              <w:rPr>
                <w:sz w:val="19"/>
                <w:szCs w:val="19"/>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94"/>
              </w:rPr>
              <w:t>Myra C. Bierria</w:t>
            </w:r>
          </w:p>
        </w:tc>
        <w:tc>
          <w:tcPr>
            <w:tcW w:w="3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4"/>
        </w:trPr>
        <w:tc>
          <w:tcPr>
            <w:tcW w:w="2140" w:type="dxa"/>
            <w:vAlign w:val="bottom"/>
          </w:tcPr>
          <w:p>
            <w:pPr>
              <w:jc w:val="center"/>
              <w:ind w:right="592"/>
              <w:spacing w:after="0"/>
              <w:rPr>
                <w:sz w:val="20"/>
                <w:szCs w:val="20"/>
                <w:color w:val="auto"/>
              </w:rPr>
            </w:pPr>
            <w:r>
              <w:rPr>
                <w:rFonts w:ascii="Arial" w:cs="Arial" w:eastAsia="Arial" w:hAnsi="Arial"/>
                <w:sz w:val="18"/>
                <w:szCs w:val="18"/>
                <w:color w:val="auto"/>
                <w:w w:val="89"/>
              </w:rPr>
              <w:t>September 13, 2023</w:t>
            </w:r>
          </w:p>
        </w:tc>
        <w:tc>
          <w:tcPr>
            <w:tcW w:w="3000" w:type="dxa"/>
            <w:vAlign w:val="bottom"/>
          </w:tcPr>
          <w:p>
            <w:pPr>
              <w:jc w:val="center"/>
              <w:spacing w:after="0"/>
              <w:rPr>
                <w:sz w:val="20"/>
                <w:szCs w:val="20"/>
                <w:color w:val="auto"/>
              </w:rPr>
            </w:pPr>
            <w:r>
              <w:rPr>
                <w:rFonts w:ascii="Arial" w:cs="Arial" w:eastAsia="Arial" w:hAnsi="Arial"/>
                <w:sz w:val="18"/>
                <w:szCs w:val="18"/>
                <w:color w:val="auto"/>
              </w:rPr>
              <w:t>/s/ WILLIAM DOZIER</w:t>
            </w:r>
          </w:p>
        </w:tc>
        <w:tc>
          <w:tcPr>
            <w:tcW w:w="3260" w:type="dxa"/>
            <w:vAlign w:val="bottom"/>
          </w:tcPr>
          <w:p>
            <w:pPr>
              <w:jc w:val="center"/>
              <w:ind w:left="211"/>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7"/>
        </w:trPr>
        <w:tc>
          <w:tcPr>
            <w:tcW w:w="2140" w:type="dxa"/>
            <w:vAlign w:val="bottom"/>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3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140" w:type="dxa"/>
            <w:vAlign w:val="bottom"/>
          </w:tcPr>
          <w:p>
            <w:pPr>
              <w:spacing w:after="0"/>
              <w:rPr>
                <w:sz w:val="19"/>
                <w:szCs w:val="19"/>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97"/>
              </w:rPr>
              <w:t>William Dozier</w:t>
            </w:r>
          </w:p>
        </w:tc>
        <w:tc>
          <w:tcPr>
            <w:tcW w:w="3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4"/>
        </w:trPr>
        <w:tc>
          <w:tcPr>
            <w:tcW w:w="2140" w:type="dxa"/>
            <w:vAlign w:val="bottom"/>
          </w:tcPr>
          <w:p>
            <w:pPr>
              <w:jc w:val="center"/>
              <w:ind w:right="592"/>
              <w:spacing w:after="0"/>
              <w:rPr>
                <w:sz w:val="20"/>
                <w:szCs w:val="20"/>
                <w:color w:val="auto"/>
              </w:rPr>
            </w:pPr>
            <w:r>
              <w:rPr>
                <w:rFonts w:ascii="Arial" w:cs="Arial" w:eastAsia="Arial" w:hAnsi="Arial"/>
                <w:sz w:val="18"/>
                <w:szCs w:val="18"/>
                <w:color w:val="auto"/>
                <w:w w:val="89"/>
              </w:rPr>
              <w:t>September 13, 2023</w:t>
            </w:r>
          </w:p>
        </w:tc>
        <w:tc>
          <w:tcPr>
            <w:tcW w:w="3000" w:type="dxa"/>
            <w:vAlign w:val="bottom"/>
          </w:tcPr>
          <w:p>
            <w:pPr>
              <w:jc w:val="center"/>
              <w:spacing w:after="0"/>
              <w:rPr>
                <w:sz w:val="20"/>
                <w:szCs w:val="20"/>
                <w:color w:val="auto"/>
              </w:rPr>
            </w:pPr>
            <w:r>
              <w:rPr>
                <w:rFonts w:ascii="Arial" w:cs="Arial" w:eastAsia="Arial" w:hAnsi="Arial"/>
                <w:sz w:val="18"/>
                <w:szCs w:val="18"/>
                <w:color w:val="auto"/>
                <w:w w:val="96"/>
              </w:rPr>
              <w:t>/s/ MARJORIE A. HARGRAVE</w:t>
            </w:r>
          </w:p>
        </w:tc>
        <w:tc>
          <w:tcPr>
            <w:tcW w:w="3260" w:type="dxa"/>
            <w:vAlign w:val="bottom"/>
          </w:tcPr>
          <w:p>
            <w:pPr>
              <w:jc w:val="center"/>
              <w:ind w:left="211"/>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7"/>
        </w:trPr>
        <w:tc>
          <w:tcPr>
            <w:tcW w:w="2140" w:type="dxa"/>
            <w:vAlign w:val="bottom"/>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3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140" w:type="dxa"/>
            <w:vAlign w:val="bottom"/>
          </w:tcPr>
          <w:p>
            <w:pPr>
              <w:spacing w:after="0"/>
              <w:rPr>
                <w:sz w:val="19"/>
                <w:szCs w:val="19"/>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93"/>
              </w:rPr>
              <w:t>Marjorie A. Hargrave</w:t>
            </w:r>
          </w:p>
        </w:tc>
        <w:tc>
          <w:tcPr>
            <w:tcW w:w="3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0" w:name="page91"/>
    <w:bookmarkEnd w:id="90"/>
    <w:p>
      <w:pPr>
        <w:jc w:val="right"/>
        <w:ind w:right="219"/>
        <w:spacing w:after="0"/>
        <w:rPr>
          <w:sz w:val="20"/>
          <w:szCs w:val="20"/>
          <w:color w:val="auto"/>
        </w:rPr>
      </w:pPr>
      <w:r>
        <w:rPr>
          <w:rFonts w:ascii="Arial" w:cs="Arial" w:eastAsia="Arial" w:hAnsi="Arial"/>
          <w:sz w:val="20"/>
          <w:szCs w:val="20"/>
          <w:b w:val="1"/>
          <w:bCs w:val="1"/>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BYLAWS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OF</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EVOLUTION PETROLEUM CORPORATION</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(Amended and Restated as of September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821690</wp:posOffset>
            </wp:positionV>
            <wp:extent cx="545211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22"/>
          <w:szCs w:val="22"/>
          <w:b w:val="1"/>
          <w:bCs w:val="1"/>
          <w:color w:val="auto"/>
        </w:rPr>
        <w:t>BYLAWS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OF</w:t>
      </w:r>
    </w:p>
    <w:p>
      <w:pPr>
        <w:spacing w:after="0" w:line="233" w:lineRule="exact"/>
        <w:rPr>
          <w:sz w:val="20"/>
          <w:szCs w:val="20"/>
          <w:color w:val="auto"/>
        </w:rPr>
      </w:pPr>
    </w:p>
    <w:p>
      <w:pPr>
        <w:jc w:val="both"/>
        <w:ind w:left="2240" w:right="2259" w:firstLine="40"/>
        <w:spacing w:after="0" w:line="531" w:lineRule="auto"/>
        <w:rPr>
          <w:sz w:val="20"/>
          <w:szCs w:val="20"/>
          <w:color w:val="auto"/>
        </w:rPr>
      </w:pPr>
      <w:r>
        <w:rPr>
          <w:rFonts w:ascii="Arial" w:cs="Arial" w:eastAsia="Arial" w:hAnsi="Arial"/>
          <w:sz w:val="19"/>
          <w:szCs w:val="19"/>
          <w:b w:val="1"/>
          <w:bCs w:val="1"/>
          <w:color w:val="auto"/>
        </w:rPr>
        <w:t>EVOLUTION PETROLEUM CORPORATION (Amended and Restated as of September 7, 2023)</w:t>
      </w:r>
    </w:p>
    <w:tbl>
      <w:tblPr>
        <w:tblLayout w:type="fixed"/>
        <w:tblInd w:w="220" w:type="dxa"/>
        <w:tblCellMar>
          <w:top w:w="0" w:type="dxa"/>
          <w:left w:w="0" w:type="dxa"/>
          <w:bottom w:w="0" w:type="dxa"/>
          <w:right w:w="0" w:type="dxa"/>
        </w:tblCellMar>
      </w:tblPr>
      <w:tr>
        <w:trPr>
          <w:trHeight w:val="208"/>
        </w:trPr>
        <w:tc>
          <w:tcPr>
            <w:tcW w:w="7520" w:type="dxa"/>
            <w:vAlign w:val="bottom"/>
            <w:gridSpan w:val="11"/>
          </w:tcPr>
          <w:p>
            <w:pPr>
              <w:spacing w:after="0" w:line="208" w:lineRule="exact"/>
              <w:rPr>
                <w:sz w:val="20"/>
                <w:szCs w:val="20"/>
                <w:color w:val="auto"/>
              </w:rPr>
            </w:pPr>
            <w:r>
              <w:rPr>
                <w:rFonts w:ascii="Arial" w:cs="Arial" w:eastAsia="Arial" w:hAnsi="Arial"/>
                <w:sz w:val="20"/>
                <w:szCs w:val="20"/>
                <w:color w:val="0000EE"/>
                <w:highlight w:val="white"/>
              </w:rPr>
              <w:t>ARTICLE I OFFICES</w:t>
            </w:r>
          </w:p>
        </w:tc>
        <w:tc>
          <w:tcPr>
            <w:tcW w:w="1060" w:type="dxa"/>
            <w:vAlign w:val="bottom"/>
            <w:gridSpan w:val="3"/>
          </w:tcPr>
          <w:p>
            <w:pPr>
              <w:jc w:val="right"/>
              <w:spacing w:after="0" w:line="208" w:lineRule="exact"/>
              <w:rPr>
                <w:sz w:val="20"/>
                <w:szCs w:val="20"/>
                <w:color w:val="auto"/>
              </w:rPr>
            </w:pPr>
            <w:r>
              <w:rPr>
                <w:rFonts w:ascii="Arial" w:cs="Arial" w:eastAsia="Arial" w:hAnsi="Arial"/>
                <w:sz w:val="20"/>
                <w:szCs w:val="20"/>
                <w:color w:val="0000EE"/>
              </w:rPr>
              <w:t>3</w:t>
            </w:r>
          </w:p>
        </w:tc>
      </w:tr>
      <w:tr>
        <w:trPr>
          <w:trHeight w:val="20"/>
        </w:trPr>
        <w:tc>
          <w:tcPr>
            <w:tcW w:w="17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26"/>
        </w:trPr>
        <w:tc>
          <w:tcPr>
            <w:tcW w:w="7520" w:type="dxa"/>
            <w:vAlign w:val="bottom"/>
            <w:gridSpan w:val="11"/>
          </w:tcPr>
          <w:p>
            <w:pPr>
              <w:spacing w:after="0"/>
              <w:rPr>
                <w:sz w:val="20"/>
                <w:szCs w:val="20"/>
                <w:color w:val="auto"/>
              </w:rPr>
            </w:pPr>
            <w:r>
              <w:rPr>
                <w:rFonts w:ascii="Arial" w:cs="Arial" w:eastAsia="Arial" w:hAnsi="Arial"/>
                <w:sz w:val="20"/>
                <w:szCs w:val="20"/>
                <w:color w:val="0000EE"/>
                <w:highlight w:val="white"/>
              </w:rPr>
              <w:t>ARTICLE II SHAREHOLDERS</w:t>
            </w:r>
          </w:p>
        </w:tc>
        <w:tc>
          <w:tcPr>
            <w:tcW w:w="1060" w:type="dxa"/>
            <w:vAlign w:val="bottom"/>
            <w:gridSpan w:val="3"/>
          </w:tcPr>
          <w:p>
            <w:pPr>
              <w:jc w:val="right"/>
              <w:spacing w:after="0"/>
              <w:rPr>
                <w:sz w:val="20"/>
                <w:szCs w:val="20"/>
                <w:color w:val="auto"/>
              </w:rPr>
            </w:pPr>
            <w:r>
              <w:rPr>
                <w:rFonts w:ascii="Arial" w:cs="Arial" w:eastAsia="Arial" w:hAnsi="Arial"/>
                <w:sz w:val="20"/>
                <w:szCs w:val="20"/>
                <w:color w:val="0000EE"/>
              </w:rPr>
              <w:t>3</w:t>
            </w:r>
          </w:p>
        </w:tc>
      </w:tr>
      <w:tr>
        <w:trPr>
          <w:trHeight w:val="20"/>
        </w:trPr>
        <w:tc>
          <w:tcPr>
            <w:tcW w:w="18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25"/>
        </w:trPr>
        <w:tc>
          <w:tcPr>
            <w:tcW w:w="7520" w:type="dxa"/>
            <w:vAlign w:val="bottom"/>
            <w:gridSpan w:val="11"/>
          </w:tcPr>
          <w:p>
            <w:pPr>
              <w:spacing w:after="0"/>
              <w:rPr>
                <w:sz w:val="20"/>
                <w:szCs w:val="20"/>
                <w:color w:val="auto"/>
              </w:rPr>
            </w:pPr>
            <w:r>
              <w:rPr>
                <w:rFonts w:ascii="Arial" w:cs="Arial" w:eastAsia="Arial" w:hAnsi="Arial"/>
                <w:sz w:val="20"/>
                <w:szCs w:val="20"/>
                <w:color w:val="0000EE"/>
                <w:highlight w:val="white"/>
              </w:rPr>
              <w:t>ARTICLE III BOARD OF DIRECTORS</w:t>
            </w:r>
          </w:p>
        </w:tc>
        <w:tc>
          <w:tcPr>
            <w:tcW w:w="1060" w:type="dxa"/>
            <w:vAlign w:val="bottom"/>
            <w:gridSpan w:val="3"/>
          </w:tcPr>
          <w:p>
            <w:pPr>
              <w:jc w:val="right"/>
              <w:spacing w:after="0"/>
              <w:rPr>
                <w:sz w:val="20"/>
                <w:szCs w:val="20"/>
                <w:color w:val="auto"/>
              </w:rPr>
            </w:pPr>
            <w:r>
              <w:rPr>
                <w:rFonts w:ascii="Arial" w:cs="Arial" w:eastAsia="Arial" w:hAnsi="Arial"/>
                <w:sz w:val="20"/>
                <w:szCs w:val="20"/>
                <w:color w:val="0000EE"/>
              </w:rPr>
              <w:t>10</w:t>
            </w:r>
          </w:p>
        </w:tc>
      </w:tr>
      <w:tr>
        <w:trPr>
          <w:trHeight w:val="426"/>
        </w:trPr>
        <w:tc>
          <w:tcPr>
            <w:tcW w:w="3240" w:type="dxa"/>
            <w:vAlign w:val="bottom"/>
            <w:tcBorders>
              <w:top w:val="single" w:sz="8" w:color="0000EE"/>
            </w:tcBorders>
            <w:gridSpan w:val="9"/>
          </w:tcPr>
          <w:p>
            <w:pPr>
              <w:spacing w:after="0"/>
              <w:rPr>
                <w:sz w:val="20"/>
                <w:szCs w:val="20"/>
                <w:color w:val="auto"/>
              </w:rPr>
            </w:pPr>
            <w:r>
              <w:rPr>
                <w:rFonts w:ascii="Arial" w:cs="Arial" w:eastAsia="Arial" w:hAnsi="Arial"/>
                <w:sz w:val="20"/>
                <w:szCs w:val="20"/>
                <w:color w:val="0000EE"/>
                <w:highlight w:val="white"/>
              </w:rPr>
              <w:t>ARTICLE IV COMMITTEES</w:t>
            </w:r>
          </w:p>
        </w:tc>
        <w:tc>
          <w:tcPr>
            <w:tcW w:w="4280" w:type="dxa"/>
            <w:vAlign w:val="bottom"/>
            <w:gridSpan w:val="2"/>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Borders>
              <w:top w:val="single" w:sz="8" w:color="0000EE"/>
            </w:tcBorders>
            <w:gridSpan w:val="2"/>
          </w:tcPr>
          <w:p>
            <w:pPr>
              <w:jc w:val="right"/>
              <w:spacing w:after="0"/>
              <w:rPr>
                <w:sz w:val="20"/>
                <w:szCs w:val="20"/>
                <w:color w:val="auto"/>
              </w:rPr>
            </w:pPr>
            <w:r>
              <w:rPr>
                <w:rFonts w:ascii="Arial" w:cs="Arial" w:eastAsia="Arial" w:hAnsi="Arial"/>
                <w:sz w:val="20"/>
                <w:szCs w:val="20"/>
                <w:color w:val="0000EE"/>
                <w:w w:val="80"/>
              </w:rPr>
              <w:t>13</w:t>
            </w:r>
          </w:p>
        </w:tc>
      </w:tr>
      <w:tr>
        <w:trPr>
          <w:trHeight w:val="425"/>
        </w:trPr>
        <w:tc>
          <w:tcPr>
            <w:tcW w:w="198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20"/>
                <w:szCs w:val="20"/>
                <w:color w:val="0000EE"/>
                <w:highlight w:val="white"/>
                <w:w w:val="93"/>
              </w:rPr>
              <w:t>ARTICLE V OFFICERS</w:t>
            </w:r>
          </w:p>
        </w:tc>
        <w:tc>
          <w:tcPr>
            <w:tcW w:w="420" w:type="dxa"/>
            <w:vAlign w:val="bottom"/>
            <w:tcBorders>
              <w:top w:val="single" w:sz="8" w:color="0000EE"/>
            </w:tcBorders>
            <w:gridSpan w:val="2"/>
          </w:tcPr>
          <w:p>
            <w:pPr>
              <w:spacing w:after="0"/>
              <w:rPr>
                <w:sz w:val="24"/>
                <w:szCs w:val="24"/>
                <w:color w:val="auto"/>
              </w:rPr>
            </w:pPr>
          </w:p>
        </w:tc>
        <w:tc>
          <w:tcPr>
            <w:tcW w:w="5120" w:type="dxa"/>
            <w:vAlign w:val="bottom"/>
            <w:gridSpan w:val="6"/>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Borders>
              <w:top w:val="single" w:sz="8" w:color="0000EE"/>
              <w:bottom w:val="single" w:sz="8" w:color="0000EE"/>
            </w:tcBorders>
            <w:gridSpan w:val="2"/>
          </w:tcPr>
          <w:p>
            <w:pPr>
              <w:jc w:val="right"/>
              <w:spacing w:after="0"/>
              <w:rPr>
                <w:sz w:val="20"/>
                <w:szCs w:val="20"/>
                <w:color w:val="auto"/>
              </w:rPr>
            </w:pPr>
            <w:r>
              <w:rPr>
                <w:rFonts w:ascii="Arial" w:cs="Arial" w:eastAsia="Arial" w:hAnsi="Arial"/>
                <w:sz w:val="20"/>
                <w:szCs w:val="20"/>
                <w:color w:val="0000EE"/>
                <w:w w:val="80"/>
              </w:rPr>
              <w:t>13</w:t>
            </w:r>
          </w:p>
        </w:tc>
      </w:tr>
      <w:tr>
        <w:trPr>
          <w:trHeight w:val="426"/>
        </w:trPr>
        <w:tc>
          <w:tcPr>
            <w:tcW w:w="7520" w:type="dxa"/>
            <w:vAlign w:val="bottom"/>
            <w:gridSpan w:val="11"/>
          </w:tcPr>
          <w:p>
            <w:pPr>
              <w:spacing w:after="0"/>
              <w:rPr>
                <w:sz w:val="20"/>
                <w:szCs w:val="20"/>
                <w:color w:val="auto"/>
              </w:rPr>
            </w:pPr>
            <w:r>
              <w:rPr>
                <w:rFonts w:ascii="Arial" w:cs="Arial" w:eastAsia="Arial" w:hAnsi="Arial"/>
                <w:sz w:val="20"/>
                <w:szCs w:val="20"/>
                <w:color w:val="0000EE"/>
                <w:highlight w:val="white"/>
              </w:rPr>
              <w:t>ARTICLE VI INDEMNIFICATION OF DIRECTORS, OFFICERS AND OTHERS</w:t>
            </w:r>
          </w:p>
        </w:tc>
        <w:tc>
          <w:tcPr>
            <w:tcW w:w="1060" w:type="dxa"/>
            <w:vAlign w:val="bottom"/>
            <w:gridSpan w:val="3"/>
          </w:tcPr>
          <w:p>
            <w:pPr>
              <w:jc w:val="right"/>
              <w:spacing w:after="0"/>
              <w:rPr>
                <w:sz w:val="20"/>
                <w:szCs w:val="20"/>
                <w:color w:val="auto"/>
              </w:rPr>
            </w:pPr>
            <w:r>
              <w:rPr>
                <w:rFonts w:ascii="Arial" w:cs="Arial" w:eastAsia="Arial" w:hAnsi="Arial"/>
                <w:sz w:val="20"/>
                <w:szCs w:val="20"/>
                <w:color w:val="0000EE"/>
              </w:rPr>
              <w:t>15</w:t>
            </w:r>
          </w:p>
        </w:tc>
      </w:tr>
      <w:tr>
        <w:trPr>
          <w:trHeight w:val="425"/>
        </w:trPr>
        <w:tc>
          <w:tcPr>
            <w:tcW w:w="184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20"/>
                <w:szCs w:val="20"/>
                <w:color w:val="0000EE"/>
                <w:highlight w:val="white"/>
                <w:w w:val="96"/>
              </w:rPr>
              <w:t>ARTICLE VII STOCK</w:t>
            </w:r>
          </w:p>
        </w:tc>
        <w:tc>
          <w:tcPr>
            <w:tcW w:w="4800" w:type="dxa"/>
            <w:vAlign w:val="bottom"/>
            <w:tcBorders>
              <w:top w:val="single" w:sz="8" w:color="0000EE"/>
            </w:tcBorders>
            <w:gridSpan w:val="8"/>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Borders>
              <w:top w:val="single" w:sz="8" w:color="0000EE"/>
              <w:bottom w:val="single" w:sz="8" w:color="0000EE"/>
            </w:tcBorders>
            <w:gridSpan w:val="2"/>
          </w:tcPr>
          <w:p>
            <w:pPr>
              <w:jc w:val="right"/>
              <w:spacing w:after="0"/>
              <w:rPr>
                <w:sz w:val="20"/>
                <w:szCs w:val="20"/>
                <w:color w:val="auto"/>
              </w:rPr>
            </w:pPr>
            <w:r>
              <w:rPr>
                <w:rFonts w:ascii="Arial" w:cs="Arial" w:eastAsia="Arial" w:hAnsi="Arial"/>
                <w:sz w:val="20"/>
                <w:szCs w:val="20"/>
                <w:color w:val="0000EE"/>
                <w:w w:val="80"/>
              </w:rPr>
              <w:t>18</w:t>
            </w:r>
          </w:p>
        </w:tc>
      </w:tr>
      <w:tr>
        <w:trPr>
          <w:trHeight w:val="426"/>
        </w:trPr>
        <w:tc>
          <w:tcPr>
            <w:tcW w:w="7520" w:type="dxa"/>
            <w:vAlign w:val="bottom"/>
            <w:gridSpan w:val="11"/>
          </w:tcPr>
          <w:p>
            <w:pPr>
              <w:spacing w:after="0"/>
              <w:rPr>
                <w:sz w:val="20"/>
                <w:szCs w:val="20"/>
                <w:color w:val="auto"/>
              </w:rPr>
            </w:pPr>
            <w:r>
              <w:rPr>
                <w:rFonts w:ascii="Arial" w:cs="Arial" w:eastAsia="Arial" w:hAnsi="Arial"/>
                <w:sz w:val="20"/>
                <w:szCs w:val="20"/>
                <w:color w:val="0000EE"/>
                <w:highlight w:val="white"/>
              </w:rPr>
              <w:t>ARTICLE VIII NOTICES</w:t>
            </w:r>
          </w:p>
        </w:tc>
        <w:tc>
          <w:tcPr>
            <w:tcW w:w="1060" w:type="dxa"/>
            <w:vAlign w:val="bottom"/>
            <w:gridSpan w:val="3"/>
          </w:tcPr>
          <w:p>
            <w:pPr>
              <w:jc w:val="right"/>
              <w:spacing w:after="0"/>
              <w:rPr>
                <w:sz w:val="20"/>
                <w:szCs w:val="20"/>
                <w:color w:val="auto"/>
              </w:rPr>
            </w:pPr>
            <w:r>
              <w:rPr>
                <w:rFonts w:ascii="Arial" w:cs="Arial" w:eastAsia="Arial" w:hAnsi="Arial"/>
                <w:sz w:val="20"/>
                <w:szCs w:val="20"/>
                <w:color w:val="0000EE"/>
              </w:rPr>
              <w:t>19</w:t>
            </w:r>
          </w:p>
        </w:tc>
      </w:tr>
      <w:tr>
        <w:trPr>
          <w:trHeight w:val="20"/>
        </w:trPr>
        <w:tc>
          <w:tcPr>
            <w:tcW w:w="2080" w:type="dxa"/>
            <w:vAlign w:val="bottom"/>
            <w:gridSpan w:val="4"/>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76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426"/>
        </w:trPr>
        <w:tc>
          <w:tcPr>
            <w:tcW w:w="7520" w:type="dxa"/>
            <w:vAlign w:val="bottom"/>
            <w:gridSpan w:val="11"/>
          </w:tcPr>
          <w:p>
            <w:pPr>
              <w:spacing w:after="0"/>
              <w:rPr>
                <w:sz w:val="20"/>
                <w:szCs w:val="20"/>
                <w:color w:val="auto"/>
              </w:rPr>
            </w:pPr>
            <w:r>
              <w:rPr>
                <w:rFonts w:ascii="Arial" w:cs="Arial" w:eastAsia="Arial" w:hAnsi="Arial"/>
                <w:sz w:val="20"/>
                <w:szCs w:val="20"/>
                <w:color w:val="0000EE"/>
                <w:highlight w:val="white"/>
              </w:rPr>
              <w:t>ARTICLE IX MISCELLANEOUS</w:t>
            </w:r>
          </w:p>
        </w:tc>
        <w:tc>
          <w:tcPr>
            <w:tcW w:w="1060" w:type="dxa"/>
            <w:vAlign w:val="bottom"/>
            <w:gridSpan w:val="3"/>
          </w:tcPr>
          <w:p>
            <w:pPr>
              <w:jc w:val="right"/>
              <w:spacing w:after="0"/>
              <w:rPr>
                <w:sz w:val="20"/>
                <w:szCs w:val="20"/>
                <w:color w:val="auto"/>
              </w:rPr>
            </w:pPr>
            <w:r>
              <w:rPr>
                <w:rFonts w:ascii="Arial" w:cs="Arial" w:eastAsia="Arial" w:hAnsi="Arial"/>
                <w:sz w:val="20"/>
                <w:szCs w:val="20"/>
                <w:color w:val="0000EE"/>
              </w:rPr>
              <w:t>19</w:t>
            </w:r>
          </w:p>
        </w:tc>
      </w:tr>
      <w:tr>
        <w:trPr>
          <w:trHeight w:val="425"/>
        </w:trPr>
        <w:tc>
          <w:tcPr>
            <w:tcW w:w="2760" w:type="dxa"/>
            <w:vAlign w:val="bottom"/>
            <w:tcBorders>
              <w:top w:val="single" w:sz="8" w:color="0000EE"/>
            </w:tcBorders>
            <w:gridSpan w:val="8"/>
          </w:tcPr>
          <w:p>
            <w:pPr>
              <w:spacing w:after="0"/>
              <w:rPr>
                <w:sz w:val="20"/>
                <w:szCs w:val="20"/>
                <w:color w:val="auto"/>
              </w:rPr>
            </w:pPr>
            <w:r>
              <w:rPr>
                <w:rFonts w:ascii="Arial" w:cs="Arial" w:eastAsia="Arial" w:hAnsi="Arial"/>
                <w:sz w:val="20"/>
                <w:szCs w:val="20"/>
                <w:color w:val="0000EE"/>
                <w:highlight w:val="white"/>
              </w:rPr>
              <w:t>ARTICLE X AMENDMENTS</w:t>
            </w:r>
          </w:p>
        </w:tc>
        <w:tc>
          <w:tcPr>
            <w:tcW w:w="4760" w:type="dxa"/>
            <w:vAlign w:val="bottom"/>
            <w:gridSpan w:val="3"/>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Borders>
              <w:top w:val="single" w:sz="8" w:color="0000EE"/>
            </w:tcBorders>
            <w:gridSpan w:val="2"/>
          </w:tcPr>
          <w:p>
            <w:pPr>
              <w:jc w:val="right"/>
              <w:spacing w:after="0"/>
              <w:rPr>
                <w:sz w:val="20"/>
                <w:szCs w:val="20"/>
                <w:color w:val="auto"/>
              </w:rPr>
            </w:pPr>
            <w:r>
              <w:rPr>
                <w:rFonts w:ascii="Arial" w:cs="Arial" w:eastAsia="Arial" w:hAnsi="Arial"/>
                <w:sz w:val="20"/>
                <w:szCs w:val="20"/>
                <w:color w:val="0000EE"/>
                <w:w w:val="80"/>
              </w:rPr>
              <w:t>20</w:t>
            </w:r>
          </w:p>
        </w:tc>
      </w:tr>
      <w:tr>
        <w:trPr>
          <w:trHeight w:val="970"/>
        </w:trPr>
        <w:tc>
          <w:tcPr>
            <w:tcW w:w="2440" w:type="dxa"/>
            <w:vAlign w:val="bottom"/>
            <w:tcBorders>
              <w:top w:val="single" w:sz="8" w:color="0000EE"/>
            </w:tcBorders>
            <w:gridSpan w:val="6"/>
          </w:tcPr>
          <w:p>
            <w:pPr>
              <w:spacing w:after="0"/>
              <w:rPr>
                <w:sz w:val="24"/>
                <w:szCs w:val="24"/>
                <w:color w:val="auto"/>
              </w:rPr>
            </w:pPr>
          </w:p>
        </w:tc>
        <w:tc>
          <w:tcPr>
            <w:tcW w:w="4200" w:type="dxa"/>
            <w:vAlign w:val="bottom"/>
            <w:gridSpan w:val="4"/>
          </w:tcPr>
          <w:p>
            <w:pPr>
              <w:jc w:val="right"/>
              <w:ind w:right="2300"/>
              <w:spacing w:after="0"/>
              <w:rPr>
                <w:sz w:val="20"/>
                <w:szCs w:val="20"/>
                <w:color w:val="auto"/>
              </w:rPr>
            </w:pPr>
            <w:r>
              <w:rPr>
                <w:rFonts w:ascii="Arial" w:cs="Arial" w:eastAsia="Arial" w:hAnsi="Arial"/>
                <w:sz w:val="20"/>
                <w:szCs w:val="20"/>
                <w:color w:val="auto"/>
              </w:rPr>
              <w:t>2</w:t>
            </w: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705"/>
        </w:trPr>
        <w:tc>
          <w:tcPr>
            <w:tcW w:w="1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-3754120</wp:posOffset>
            </wp:positionV>
            <wp:extent cx="5452110" cy="26917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1">
                      <a:extLst>
                        <a:ext uri="{28A0092B-C50C-407E-A947-70E740481C1C}"/>
                      </a:extLst>
                    </a:blip>
                    <a:srcRect/>
                    <a:stretch>
                      <a:fillRect/>
                    </a:stretch>
                  </pic:blipFill>
                  <pic:spPr bwMode="auto">
                    <a:xfrm>
                      <a:off x="0" y="0"/>
                      <a:ext cx="5452110" cy="2691765"/>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22"/>
          <w:szCs w:val="22"/>
          <w:b w:val="1"/>
          <w:bCs w:val="1"/>
          <w:color w:val="auto"/>
        </w:rPr>
        <w:t>BYLAWS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OF</w:t>
      </w:r>
    </w:p>
    <w:p>
      <w:pPr>
        <w:spacing w:after="0" w:line="233" w:lineRule="exact"/>
        <w:rPr>
          <w:sz w:val="20"/>
          <w:szCs w:val="20"/>
          <w:color w:val="auto"/>
        </w:rPr>
      </w:pPr>
    </w:p>
    <w:p>
      <w:pPr>
        <w:jc w:val="both"/>
        <w:ind w:left="2240" w:right="2259" w:firstLine="40"/>
        <w:spacing w:after="0" w:line="601" w:lineRule="auto"/>
        <w:rPr>
          <w:sz w:val="20"/>
          <w:szCs w:val="20"/>
          <w:color w:val="auto"/>
        </w:rPr>
      </w:pPr>
      <w:r>
        <w:rPr>
          <w:rFonts w:ascii="Arial" w:cs="Arial" w:eastAsia="Arial" w:hAnsi="Arial"/>
          <w:sz w:val="19"/>
          <w:szCs w:val="19"/>
          <w:b w:val="1"/>
          <w:bCs w:val="1"/>
          <w:color w:val="auto"/>
        </w:rPr>
        <w:t>EVOLUTION PETROLEUM CORPORATION (Amended and Restated as of September 7, 2023)</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OFFICES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Section 1.1 Principal Office</w:t>
      </w:r>
    </w:p>
    <w:p>
      <w:pPr>
        <w:spacing w:after="0" w:line="233" w:lineRule="exact"/>
        <w:rPr>
          <w:sz w:val="20"/>
          <w:szCs w:val="20"/>
          <w:color w:val="auto"/>
        </w:rPr>
      </w:pPr>
    </w:p>
    <w:p>
      <w:pPr>
        <w:ind w:left="200" w:right="319"/>
        <w:spacing w:after="0" w:line="250" w:lineRule="auto"/>
        <w:rPr>
          <w:sz w:val="20"/>
          <w:szCs w:val="20"/>
          <w:color w:val="auto"/>
        </w:rPr>
      </w:pPr>
      <w:r>
        <w:rPr>
          <w:rFonts w:ascii="Arial" w:cs="Arial" w:eastAsia="Arial" w:hAnsi="Arial"/>
          <w:sz w:val="22"/>
          <w:szCs w:val="22"/>
          <w:color w:val="auto"/>
        </w:rPr>
        <w:t>The principal executive office of the Corporation shall be such location as deemed necessary from time to time by the Board of Directors.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Section 1.2 Other Offices</w:t>
      </w:r>
    </w:p>
    <w:p>
      <w:pPr>
        <w:spacing w:after="0" w:line="233" w:lineRule="exact"/>
        <w:rPr>
          <w:sz w:val="20"/>
          <w:szCs w:val="20"/>
          <w:color w:val="auto"/>
        </w:rPr>
      </w:pPr>
    </w:p>
    <w:p>
      <w:pPr>
        <w:ind w:left="200" w:right="299"/>
        <w:spacing w:after="0"/>
        <w:rPr>
          <w:sz w:val="20"/>
          <w:szCs w:val="20"/>
          <w:color w:val="auto"/>
        </w:rPr>
      </w:pPr>
      <w:r>
        <w:rPr>
          <w:rFonts w:ascii="Arial" w:cs="Arial" w:eastAsia="Arial" w:hAnsi="Arial"/>
          <w:sz w:val="22"/>
          <w:szCs w:val="22"/>
          <w:color w:val="auto"/>
        </w:rPr>
        <w:t>The Corporation may also have such other offices, either within or without the State of Nevada, as the Board of Directors may from time to time determine or the business of the Corporation may require.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II</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SHAREHOLDERS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Section 2.1 Annual Meeting</w:t>
      </w:r>
    </w:p>
    <w:p>
      <w:pPr>
        <w:spacing w:after="0" w:line="233" w:lineRule="exact"/>
        <w:rPr>
          <w:sz w:val="20"/>
          <w:szCs w:val="20"/>
          <w:color w:val="auto"/>
        </w:rPr>
      </w:pPr>
    </w:p>
    <w:p>
      <w:pPr>
        <w:ind w:left="200" w:right="239"/>
        <w:spacing w:after="0" w:line="245" w:lineRule="auto"/>
        <w:rPr>
          <w:sz w:val="20"/>
          <w:szCs w:val="20"/>
          <w:color w:val="auto"/>
        </w:rPr>
      </w:pPr>
      <w:r>
        <w:rPr>
          <w:rFonts w:ascii="Arial" w:cs="Arial" w:eastAsia="Arial" w:hAnsi="Arial"/>
          <w:sz w:val="21"/>
          <w:szCs w:val="21"/>
          <w:color w:val="auto"/>
        </w:rPr>
        <w:t>An annual meeting of the shareholders, for the selection of directors to succeed those whose terms expire and for the transaction of such other business as may properly come before the meeting, shall be held at the principal office of the Corporation no later than the fifteenth day of the sixth month following the end of the fiscal year of the Corporation or, if such date shall fall on a holiday, the next business day thereafter. The Board of Directors may change the date or elect to have no annual meeting for a particular year. If the election of directors is not held on the day designated for any annual meeting of the shareholders or at any adjournment of the meeting, the Board of Directors shall call for the election to be held at a special meeting of the Shareholders as soon thereafter as possible.</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Section 2.2 Special Meetings</w:t>
      </w:r>
    </w:p>
    <w:p>
      <w:pPr>
        <w:spacing w:after="0" w:line="206" w:lineRule="exact"/>
        <w:rPr>
          <w:sz w:val="20"/>
          <w:szCs w:val="20"/>
          <w:color w:val="auto"/>
        </w:rPr>
      </w:pPr>
    </w:p>
    <w:p>
      <w:pPr>
        <w:ind w:left="200" w:right="339"/>
        <w:spacing w:after="0" w:line="252" w:lineRule="auto"/>
        <w:rPr>
          <w:sz w:val="20"/>
          <w:szCs w:val="20"/>
          <w:color w:val="auto"/>
        </w:rPr>
      </w:pPr>
      <w:r>
        <w:rPr>
          <w:rFonts w:ascii="Arial" w:cs="Arial" w:eastAsia="Arial" w:hAnsi="Arial"/>
          <w:sz w:val="21"/>
          <w:szCs w:val="21"/>
          <w:color w:val="auto"/>
        </w:rPr>
        <w:t>Special meetings of the shareholders, for any purpose or purposes prescribed in the notice of the meeting, may be called by the Board of Directors, the chief executive officer, or the holders of not less than one-tenth of all the shares entitled to vote at the meeting, and shall be held at such place, on such date, and at such time as they or he shall fix.</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Section 2.3 Notice of Meetings</w:t>
      </w:r>
    </w:p>
    <w:p>
      <w:pPr>
        <w:spacing w:after="0" w:line="233" w:lineRule="exact"/>
        <w:rPr>
          <w:sz w:val="20"/>
          <w:szCs w:val="20"/>
          <w:color w:val="auto"/>
        </w:rPr>
      </w:pPr>
    </w:p>
    <w:p>
      <w:pPr>
        <w:ind w:left="200"/>
        <w:spacing w:after="0"/>
        <w:rPr>
          <w:sz w:val="20"/>
          <w:szCs w:val="20"/>
          <w:color w:val="auto"/>
        </w:rPr>
      </w:pPr>
      <w:r>
        <w:rPr>
          <w:rFonts w:ascii="Arial" w:cs="Arial" w:eastAsia="Arial" w:hAnsi="Arial"/>
          <w:sz w:val="19"/>
          <w:szCs w:val="19"/>
          <w:color w:val="auto"/>
        </w:rPr>
        <w:t>Written notice of the place, date and time of all meetings of the shareholders shall be given, not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353060</wp:posOffset>
            </wp:positionV>
            <wp:extent cx="545211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93" w:name="page94"/>
    <w:bookmarkEnd w:id="93"/>
    <w:p>
      <w:pPr>
        <w:ind w:left="200" w:right="239"/>
        <w:spacing w:after="0" w:line="236" w:lineRule="auto"/>
        <w:rPr>
          <w:sz w:val="20"/>
          <w:szCs w:val="20"/>
          <w:color w:val="auto"/>
        </w:rPr>
      </w:pPr>
      <w:r>
        <w:rPr>
          <w:rFonts w:ascii="Arial" w:cs="Arial" w:eastAsia="Arial" w:hAnsi="Arial"/>
          <w:sz w:val="22"/>
          <w:szCs w:val="22"/>
          <w:color w:val="auto"/>
        </w:rPr>
        <w:t>less than ten nor more than sixty days before the date on which the meeting is to be held, to each stockholder entitled to vote at such meeting, except as otherwise provided herein or required by law (meaning, here and hereinafter, as required from time to time by the Corporation statutes of the State of Nevada, as contained in Chapter 78 of Nevada Revised Statutes, or the Articles of Incorporation).</w:t>
      </w:r>
    </w:p>
    <w:p>
      <w:pPr>
        <w:spacing w:after="0" w:line="187" w:lineRule="exact"/>
        <w:rPr>
          <w:sz w:val="20"/>
          <w:szCs w:val="20"/>
          <w:color w:val="auto"/>
        </w:rPr>
      </w:pPr>
    </w:p>
    <w:p>
      <w:pPr>
        <w:ind w:left="200" w:right="299"/>
        <w:spacing w:after="0" w:line="277" w:lineRule="auto"/>
        <w:rPr>
          <w:sz w:val="20"/>
          <w:szCs w:val="20"/>
          <w:color w:val="auto"/>
        </w:rPr>
      </w:pPr>
      <w:r>
        <w:rPr>
          <w:rFonts w:ascii="Arial" w:cs="Arial" w:eastAsia="Arial" w:hAnsi="Arial"/>
          <w:sz w:val="19"/>
          <w:szCs w:val="19"/>
          <w:color w:val="auto"/>
        </w:rPr>
        <w:t>When a meeting is adjourned to another place, date or time, written notice need not be given of the adjourned meeting if the place, date and time thereof are announced at the meeting at which the adjournment is taken; provided, however, that if the date of any adjourned meeting is more than thirty days after the date for which the meeting was originally noticed, or if a new record date is fixed for the adjourned meeting, written notice of the place, date, and time of the adjourned meeting shall be given in conformity herewith. At any adjourned meeting, any business may be transacted which might have been transacted at the original meeting.</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Section 2.4 Quorum</w:t>
      </w:r>
    </w:p>
    <w:p>
      <w:pPr>
        <w:spacing w:after="0" w:line="233" w:lineRule="exact"/>
        <w:rPr>
          <w:sz w:val="20"/>
          <w:szCs w:val="20"/>
          <w:color w:val="auto"/>
        </w:rPr>
      </w:pPr>
    </w:p>
    <w:p>
      <w:pPr>
        <w:ind w:left="200" w:right="539"/>
        <w:spacing w:after="0" w:line="238" w:lineRule="auto"/>
        <w:rPr>
          <w:sz w:val="20"/>
          <w:szCs w:val="20"/>
          <w:color w:val="auto"/>
        </w:rPr>
      </w:pPr>
      <w:r>
        <w:rPr>
          <w:rFonts w:ascii="Arial" w:cs="Arial" w:eastAsia="Arial" w:hAnsi="Arial"/>
          <w:sz w:val="22"/>
          <w:szCs w:val="22"/>
          <w:color w:val="auto"/>
        </w:rPr>
        <w:t>At any meeting of the shareholders, the holders of a majority of all of the shares of the stock entitled to vote at the meeting, present in person or by proxy, shall constitute a quorum for all purposes, unless or except to the extent that the presence of a larger number may be required by law.</w:t>
      </w:r>
    </w:p>
    <w:p>
      <w:pPr>
        <w:spacing w:after="0" w:line="198" w:lineRule="exact"/>
        <w:rPr>
          <w:sz w:val="20"/>
          <w:szCs w:val="20"/>
          <w:color w:val="auto"/>
        </w:rPr>
      </w:pPr>
    </w:p>
    <w:p>
      <w:pPr>
        <w:ind w:left="200" w:right="659"/>
        <w:spacing w:after="0" w:line="251" w:lineRule="auto"/>
        <w:rPr>
          <w:sz w:val="20"/>
          <w:szCs w:val="20"/>
          <w:color w:val="auto"/>
        </w:rPr>
      </w:pPr>
      <w:r>
        <w:rPr>
          <w:rFonts w:ascii="Arial" w:cs="Arial" w:eastAsia="Arial" w:hAnsi="Arial"/>
          <w:sz w:val="21"/>
          <w:szCs w:val="21"/>
          <w:color w:val="auto"/>
        </w:rPr>
        <w:t>If a quorum shall fail to attend any meeting, the chairman of the meeting or the holders of a majority of the shares of the stock entitled to vote who are present, in person or by proxy, may adjourn the meeting to another reasonable place, date and time of day.</w:t>
      </w:r>
    </w:p>
    <w:p>
      <w:pPr>
        <w:spacing w:after="0" w:line="174" w:lineRule="exact"/>
        <w:rPr>
          <w:sz w:val="20"/>
          <w:szCs w:val="20"/>
          <w:color w:val="auto"/>
        </w:rPr>
      </w:pPr>
    </w:p>
    <w:p>
      <w:pPr>
        <w:ind w:left="200" w:right="599"/>
        <w:spacing w:after="0" w:line="287" w:lineRule="auto"/>
        <w:rPr>
          <w:sz w:val="20"/>
          <w:szCs w:val="20"/>
          <w:color w:val="auto"/>
        </w:rPr>
      </w:pPr>
      <w:r>
        <w:rPr>
          <w:rFonts w:ascii="Arial" w:cs="Arial" w:eastAsia="Arial" w:hAnsi="Arial"/>
          <w:sz w:val="19"/>
          <w:szCs w:val="19"/>
          <w:color w:val="auto"/>
        </w:rPr>
        <w:t>If a notice of any adjourned special meeting of shareholders is sent to all shareholders entitled to vote thereat, stating that it will be held with those present constituting a quorum, then except as otherwise required by law, those present at such adjourned meeting shall constitute a quorum, and all matters shall be determined by a majority of the votes cast at such meeting.</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Section 2.5 Organization</w:t>
      </w:r>
    </w:p>
    <w:p>
      <w:pPr>
        <w:spacing w:after="0" w:line="233" w:lineRule="exact"/>
        <w:rPr>
          <w:sz w:val="20"/>
          <w:szCs w:val="20"/>
          <w:color w:val="auto"/>
        </w:rPr>
      </w:pPr>
    </w:p>
    <w:p>
      <w:pPr>
        <w:ind w:left="200" w:right="259"/>
        <w:spacing w:after="0" w:line="287" w:lineRule="auto"/>
        <w:rPr>
          <w:sz w:val="20"/>
          <w:szCs w:val="20"/>
          <w:color w:val="auto"/>
        </w:rPr>
      </w:pPr>
      <w:r>
        <w:rPr>
          <w:rFonts w:ascii="Arial" w:cs="Arial" w:eastAsia="Arial" w:hAnsi="Arial"/>
          <w:sz w:val="19"/>
          <w:szCs w:val="19"/>
          <w:color w:val="auto"/>
        </w:rPr>
        <w:t>Such person as the Board of Directors may have designated or, in the absence of such a person, the highest ranking officer of the Corporation who is present shall call to order any meeting of the shareholders and act as chairman of the meeting. In the absence of the Secretary of the Corporation, the secretary of the meeting shall be the person the chairman appoints.</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Section 2.6 Conduct of Business</w:t>
      </w:r>
    </w:p>
    <w:p>
      <w:pPr>
        <w:spacing w:after="0" w:line="233" w:lineRule="exact"/>
        <w:rPr>
          <w:sz w:val="20"/>
          <w:szCs w:val="20"/>
          <w:color w:val="auto"/>
        </w:rPr>
      </w:pPr>
    </w:p>
    <w:p>
      <w:pPr>
        <w:ind w:left="200" w:right="619"/>
        <w:spacing w:after="0"/>
        <w:rPr>
          <w:sz w:val="20"/>
          <w:szCs w:val="20"/>
          <w:color w:val="auto"/>
        </w:rPr>
      </w:pPr>
      <w:r>
        <w:rPr>
          <w:rFonts w:ascii="Arial" w:cs="Arial" w:eastAsia="Arial" w:hAnsi="Arial"/>
          <w:sz w:val="22"/>
          <w:szCs w:val="22"/>
          <w:color w:val="auto"/>
        </w:rPr>
        <w:t>The chairman of any meeting of shareholders shall determine the order of business and the procedure at the meeting, including such regulation of the manner of voting and the conduct of discussion as seem to him in order.</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Section 2.7 Proxies and Voting</w:t>
      </w:r>
    </w:p>
    <w:p>
      <w:pPr>
        <w:spacing w:after="0" w:line="233" w:lineRule="exact"/>
        <w:rPr>
          <w:sz w:val="20"/>
          <w:szCs w:val="20"/>
          <w:color w:val="auto"/>
        </w:rPr>
      </w:pPr>
    </w:p>
    <w:p>
      <w:pPr>
        <w:ind w:left="200"/>
        <w:spacing w:after="0"/>
        <w:rPr>
          <w:sz w:val="20"/>
          <w:szCs w:val="20"/>
          <w:color w:val="auto"/>
        </w:rPr>
      </w:pPr>
      <w:r>
        <w:rPr>
          <w:rFonts w:ascii="Arial" w:cs="Arial" w:eastAsia="Arial" w:hAnsi="Arial"/>
          <w:sz w:val="19"/>
          <w:szCs w:val="19"/>
          <w:color w:val="auto"/>
        </w:rPr>
        <w:t>At any meeting of the shareholders, every shareholder entitled to vote may vote in person or by</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447675</wp:posOffset>
            </wp:positionV>
            <wp:extent cx="545211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8" w:right="1440" w:bottom="1440" w:gutter="0" w:footer="0" w:header="0"/>
        </w:sectPr>
      </w:pPr>
    </w:p>
    <w:bookmarkStart w:id="94" w:name="page95"/>
    <w:bookmarkEnd w:id="94"/>
    <w:p>
      <w:pPr>
        <w:ind w:left="200" w:right="239"/>
        <w:spacing w:after="0" w:line="250" w:lineRule="auto"/>
        <w:rPr>
          <w:sz w:val="20"/>
          <w:szCs w:val="20"/>
          <w:color w:val="auto"/>
        </w:rPr>
      </w:pPr>
      <w:r>
        <w:rPr>
          <w:rFonts w:ascii="Arial" w:cs="Arial" w:eastAsia="Arial" w:hAnsi="Arial"/>
          <w:sz w:val="22"/>
          <w:szCs w:val="22"/>
          <w:color w:val="auto"/>
        </w:rPr>
        <w:t>proxy authorized by an instrument in writing filed in accordance with the procedure established for the meeting.</w:t>
      </w:r>
    </w:p>
    <w:p>
      <w:pPr>
        <w:spacing w:after="0" w:line="175" w:lineRule="exact"/>
        <w:rPr>
          <w:sz w:val="20"/>
          <w:szCs w:val="20"/>
          <w:color w:val="auto"/>
        </w:rPr>
      </w:pPr>
    </w:p>
    <w:p>
      <w:pPr>
        <w:ind w:left="200" w:right="339"/>
        <w:spacing w:after="0"/>
        <w:rPr>
          <w:sz w:val="20"/>
          <w:szCs w:val="20"/>
          <w:color w:val="auto"/>
        </w:rPr>
      </w:pPr>
      <w:r>
        <w:rPr>
          <w:rFonts w:ascii="Arial" w:cs="Arial" w:eastAsia="Arial" w:hAnsi="Arial"/>
          <w:sz w:val="22"/>
          <w:szCs w:val="22"/>
          <w:color w:val="auto"/>
        </w:rPr>
        <w:t>Each shareholder shall have one vote for every share of stock entitled to vote which is registered in his name on the record date for the meeting, except as otherwise provided herein or required by law.</w:t>
      </w:r>
    </w:p>
    <w:p>
      <w:pPr>
        <w:spacing w:after="0" w:line="213" w:lineRule="exact"/>
        <w:rPr>
          <w:sz w:val="20"/>
          <w:szCs w:val="20"/>
          <w:color w:val="auto"/>
        </w:rPr>
      </w:pPr>
    </w:p>
    <w:p>
      <w:pPr>
        <w:jc w:val="both"/>
        <w:ind w:left="200" w:right="419"/>
        <w:spacing w:after="0" w:line="276" w:lineRule="auto"/>
        <w:rPr>
          <w:sz w:val="20"/>
          <w:szCs w:val="20"/>
          <w:color w:val="auto"/>
        </w:rPr>
      </w:pPr>
      <w:r>
        <w:rPr>
          <w:rFonts w:ascii="Arial" w:cs="Arial" w:eastAsia="Arial" w:hAnsi="Arial"/>
          <w:sz w:val="19"/>
          <w:szCs w:val="19"/>
          <w:color w:val="auto"/>
        </w:rPr>
        <w:t>All voting, except on the election of directors and where otherwise required by law, may be by a voice vote; provided, however, that upon demand therefor by a shareholder entitled to vote or his proxy, a stock vote shall be taken. Every stock vote shall be taken by ballots, each of which shall state the name of the shareholder or proxy voting and such other information as may be required under the procedure established for the meeting. Every vote taken by ballots shall be counted by an inspector or inspectors appointed by the chairman of the meeting.</w:t>
      </w:r>
    </w:p>
    <w:p>
      <w:pPr>
        <w:spacing w:after="0" w:line="153" w:lineRule="exact"/>
        <w:rPr>
          <w:sz w:val="20"/>
          <w:szCs w:val="20"/>
          <w:color w:val="auto"/>
        </w:rPr>
      </w:pPr>
    </w:p>
    <w:p>
      <w:pPr>
        <w:ind w:left="200" w:right="299"/>
        <w:spacing w:after="0" w:line="238" w:lineRule="auto"/>
        <w:rPr>
          <w:sz w:val="20"/>
          <w:szCs w:val="20"/>
          <w:color w:val="auto"/>
        </w:rPr>
      </w:pPr>
      <w:r>
        <w:rPr>
          <w:rFonts w:ascii="Arial" w:cs="Arial" w:eastAsia="Arial" w:hAnsi="Arial"/>
          <w:sz w:val="22"/>
          <w:szCs w:val="22"/>
          <w:color w:val="auto"/>
        </w:rPr>
        <w:t>If a quorum is present, the affirmative vote of the majority of the shares represented at the meeting and entitled to vote on the subject matter shall be the act of the shareholders, unless the vote of a greater number or voting by class is required by law, the Articles of Incorporation, or these By-laws.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Section 2.8 Shareholder Action By Written Consent</w:t>
      </w:r>
    </w:p>
    <w:p>
      <w:pPr>
        <w:spacing w:after="0" w:line="233" w:lineRule="exact"/>
        <w:rPr>
          <w:sz w:val="20"/>
          <w:szCs w:val="20"/>
          <w:color w:val="auto"/>
        </w:rPr>
      </w:pPr>
    </w:p>
    <w:p>
      <w:pPr>
        <w:ind w:left="200" w:right="379"/>
        <w:spacing w:after="0" w:line="238" w:lineRule="auto"/>
        <w:rPr>
          <w:sz w:val="20"/>
          <w:szCs w:val="20"/>
          <w:color w:val="auto"/>
        </w:rPr>
      </w:pPr>
      <w:r>
        <w:rPr>
          <w:rFonts w:ascii="Arial" w:cs="Arial" w:eastAsia="Arial" w:hAnsi="Arial"/>
          <w:sz w:val="22"/>
          <w:szCs w:val="22"/>
          <w:color w:val="auto"/>
        </w:rPr>
        <w:t>Any action which may be taken at a meeting of the Shareholders may be taken by written consent without a meeting if such action is taken in conformance with the Nevada Corporations Code and is signed by the holders of not less than two-thirds of the outstanding shares of stock of the Corporation entitled to vote thereon.</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Section 2.9 Stock List</w:t>
      </w:r>
    </w:p>
    <w:p>
      <w:pPr>
        <w:spacing w:after="0" w:line="233" w:lineRule="exact"/>
        <w:rPr>
          <w:sz w:val="20"/>
          <w:szCs w:val="20"/>
          <w:color w:val="auto"/>
        </w:rPr>
      </w:pPr>
    </w:p>
    <w:p>
      <w:pPr>
        <w:ind w:left="200" w:right="239"/>
        <w:spacing w:after="0" w:line="271" w:lineRule="auto"/>
        <w:rPr>
          <w:sz w:val="20"/>
          <w:szCs w:val="20"/>
          <w:color w:val="auto"/>
        </w:rPr>
      </w:pPr>
      <w:r>
        <w:rPr>
          <w:rFonts w:ascii="Arial" w:cs="Arial" w:eastAsia="Arial" w:hAnsi="Arial"/>
          <w:sz w:val="19"/>
          <w:szCs w:val="19"/>
          <w:color w:val="auto"/>
        </w:rPr>
        <w:t>A complete list of shareholders entitled to vote at any meeting of shareholders, arranged in alphabetical order for each class of stock and showing the address of each such shareholder and the number of shares registered in his name, shall be open to the examination of any such shareholder, for any purpose germane to the meeting, during ordinary business hours for a period of at least ten</w:t>
      </w:r>
    </w:p>
    <w:p>
      <w:pPr>
        <w:spacing w:after="0" w:line="3" w:lineRule="exact"/>
        <w:rPr>
          <w:sz w:val="20"/>
          <w:szCs w:val="20"/>
          <w:color w:val="auto"/>
        </w:rPr>
      </w:pPr>
    </w:p>
    <w:p>
      <w:pPr>
        <w:ind w:left="620" w:hanging="411"/>
        <w:spacing w:after="0"/>
        <w:tabs>
          <w:tab w:leader="none" w:pos="620" w:val="left"/>
        </w:tabs>
        <w:numPr>
          <w:ilvl w:val="0"/>
          <w:numId w:val="41"/>
        </w:numPr>
        <w:rPr>
          <w:rFonts w:ascii="Arial" w:cs="Arial" w:eastAsia="Arial" w:hAnsi="Arial"/>
          <w:sz w:val="19"/>
          <w:szCs w:val="19"/>
          <w:color w:val="auto"/>
        </w:rPr>
      </w:pPr>
      <w:r>
        <w:rPr>
          <w:rFonts w:ascii="Arial" w:cs="Arial" w:eastAsia="Arial" w:hAnsi="Arial"/>
          <w:sz w:val="19"/>
          <w:szCs w:val="19"/>
          <w:color w:val="auto"/>
        </w:rPr>
        <w:t>days prior to the meeting, either at a place within the city where the meeting is to be held,</w:t>
      </w:r>
    </w:p>
    <w:p>
      <w:pPr>
        <w:spacing w:after="0" w:line="24" w:lineRule="exact"/>
        <w:rPr>
          <w:rFonts w:ascii="Arial" w:cs="Arial" w:eastAsia="Arial" w:hAnsi="Arial"/>
          <w:sz w:val="19"/>
          <w:szCs w:val="19"/>
          <w:color w:val="auto"/>
        </w:rPr>
      </w:pPr>
    </w:p>
    <w:p>
      <w:pPr>
        <w:ind w:left="200" w:right="239"/>
        <w:spacing w:after="0" w:line="236" w:lineRule="auto"/>
        <w:rPr>
          <w:rFonts w:ascii="Arial" w:cs="Arial" w:eastAsia="Arial" w:hAnsi="Arial"/>
          <w:sz w:val="19"/>
          <w:szCs w:val="19"/>
          <w:color w:val="auto"/>
        </w:rPr>
      </w:pPr>
      <w:r>
        <w:rPr>
          <w:rFonts w:ascii="Arial" w:cs="Arial" w:eastAsia="Arial" w:hAnsi="Arial"/>
          <w:sz w:val="22"/>
          <w:szCs w:val="22"/>
          <w:color w:val="auto"/>
        </w:rPr>
        <w:t>which place shall be specified in the notice of the meeting, or if not so specified, at the place where the meeting is to be held.</w:t>
      </w:r>
    </w:p>
    <w:p>
      <w:pPr>
        <w:spacing w:after="0" w:line="187" w:lineRule="exact"/>
        <w:rPr>
          <w:sz w:val="20"/>
          <w:szCs w:val="20"/>
          <w:color w:val="auto"/>
        </w:rPr>
      </w:pPr>
    </w:p>
    <w:p>
      <w:pPr>
        <w:ind w:left="200" w:right="619"/>
        <w:spacing w:after="0" w:line="238" w:lineRule="auto"/>
        <w:rPr>
          <w:sz w:val="20"/>
          <w:szCs w:val="20"/>
          <w:color w:val="auto"/>
        </w:rPr>
      </w:pPr>
      <w:r>
        <w:rPr>
          <w:rFonts w:ascii="Arial" w:cs="Arial" w:eastAsia="Arial" w:hAnsi="Arial"/>
          <w:sz w:val="22"/>
          <w:szCs w:val="22"/>
          <w:color w:val="auto"/>
        </w:rPr>
        <w:t>The Stock list shall also be kept at the place of the meeting during the whole time thereof and shall be open to the examination of any such shareholder who is present. This list shall presumptively determine the identity of the shareholders entitled to vote at the meeting and the number of shares held by each of them.</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Section 2.10 Nominations and Business at Stockholder Meetings.</w:t>
      </w:r>
    </w:p>
    <w:p>
      <w:pPr>
        <w:spacing w:after="0" w:line="233" w:lineRule="exact"/>
        <w:rPr>
          <w:sz w:val="20"/>
          <w:szCs w:val="20"/>
          <w:color w:val="auto"/>
        </w:rPr>
      </w:pPr>
    </w:p>
    <w:p>
      <w:pPr>
        <w:ind w:left="560" w:hanging="351"/>
        <w:spacing w:after="0"/>
        <w:tabs>
          <w:tab w:leader="none" w:pos="560" w:val="left"/>
        </w:tabs>
        <w:numPr>
          <w:ilvl w:val="0"/>
          <w:numId w:val="42"/>
        </w:numPr>
        <w:rPr>
          <w:rFonts w:ascii="Arial" w:cs="Arial" w:eastAsia="Arial" w:hAnsi="Arial"/>
          <w:sz w:val="22"/>
          <w:szCs w:val="22"/>
          <w:color w:val="auto"/>
        </w:rPr>
      </w:pPr>
      <w:r>
        <w:rPr>
          <w:rFonts w:ascii="Arial" w:cs="Arial" w:eastAsia="Arial" w:hAnsi="Arial"/>
          <w:sz w:val="22"/>
          <w:szCs w:val="22"/>
          <w:color w:val="auto"/>
        </w:rPr>
        <w:t>Annual Meetings of Stockholders.</w:t>
      </w:r>
    </w:p>
    <w:p>
      <w:pPr>
        <w:spacing w:after="0" w:line="233" w:lineRule="exact"/>
        <w:rPr>
          <w:rFonts w:ascii="Arial" w:cs="Arial" w:eastAsia="Arial" w:hAnsi="Arial"/>
          <w:sz w:val="22"/>
          <w:szCs w:val="22"/>
          <w:color w:val="auto"/>
        </w:rPr>
      </w:pPr>
    </w:p>
    <w:p>
      <w:pPr>
        <w:ind w:left="200" w:right="519" w:firstLine="333"/>
        <w:spacing w:after="0" w:line="328" w:lineRule="auto"/>
        <w:tabs>
          <w:tab w:leader="none" w:pos="830" w:val="left"/>
        </w:tabs>
        <w:numPr>
          <w:ilvl w:val="1"/>
          <w:numId w:val="42"/>
        </w:numPr>
        <w:rPr>
          <w:rFonts w:ascii="Arial" w:cs="Arial" w:eastAsia="Arial" w:hAnsi="Arial"/>
          <w:sz w:val="19"/>
          <w:szCs w:val="19"/>
          <w:color w:val="auto"/>
        </w:rPr>
      </w:pPr>
      <w:r>
        <w:rPr>
          <w:rFonts w:ascii="Arial" w:cs="Arial" w:eastAsia="Arial" w:hAnsi="Arial"/>
          <w:sz w:val="19"/>
          <w:szCs w:val="19"/>
          <w:color w:val="auto"/>
        </w:rPr>
        <w:t>Nominations of persons for election to the Board of Directors of the Corporation and the proposal of other business to be considered by the stockholders may be made at an annual</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447675</wp:posOffset>
            </wp:positionV>
            <wp:extent cx="545211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8" w:right="1440" w:bottom="1440" w:gutter="0" w:footer="0" w:header="0"/>
        </w:sectPr>
      </w:pPr>
    </w:p>
    <w:bookmarkStart w:id="95" w:name="page96"/>
    <w:bookmarkEnd w:id="95"/>
    <w:p>
      <w:pPr>
        <w:ind w:left="200" w:right="379"/>
        <w:spacing w:after="0" w:line="249" w:lineRule="auto"/>
        <w:rPr>
          <w:sz w:val="20"/>
          <w:szCs w:val="20"/>
          <w:color w:val="auto"/>
        </w:rPr>
      </w:pPr>
      <w:r>
        <w:rPr>
          <w:rFonts w:ascii="Arial" w:cs="Arial" w:eastAsia="Arial" w:hAnsi="Arial"/>
          <w:sz w:val="21"/>
          <w:szCs w:val="21"/>
          <w:color w:val="auto"/>
        </w:rPr>
        <w:t>meeting of stockholders (a) pursuant to the Corporation’s notice of meeting, (b) by or at the direction of the Board of Directors or (c) by any stockholder of the Corporation (i) who was a stockholder of record at the time of giving of notice provided for in this Section 2.10, and at the time of the annual meeting, (ii) is entitled to vote at the meeting and (iii) complies with the notice procedures set forth in this Section 2.10 as to such business or nomination.</w:t>
      </w:r>
    </w:p>
    <w:p>
      <w:pPr>
        <w:spacing w:after="0" w:line="205" w:lineRule="exact"/>
        <w:rPr>
          <w:sz w:val="20"/>
          <w:szCs w:val="20"/>
          <w:color w:val="auto"/>
        </w:rPr>
      </w:pPr>
    </w:p>
    <w:p>
      <w:pPr>
        <w:ind w:left="200" w:right="279" w:firstLine="333"/>
        <w:spacing w:after="0" w:line="271" w:lineRule="auto"/>
        <w:tabs>
          <w:tab w:leader="none" w:pos="830" w:val="left"/>
        </w:tabs>
        <w:numPr>
          <w:ilvl w:val="0"/>
          <w:numId w:val="43"/>
        </w:numPr>
        <w:rPr>
          <w:rFonts w:ascii="Arial" w:cs="Arial" w:eastAsia="Arial" w:hAnsi="Arial"/>
          <w:sz w:val="19"/>
          <w:szCs w:val="19"/>
          <w:color w:val="auto"/>
        </w:rPr>
      </w:pPr>
      <w:r>
        <w:rPr>
          <w:rFonts w:ascii="Arial" w:cs="Arial" w:eastAsia="Arial" w:hAnsi="Arial"/>
          <w:sz w:val="19"/>
          <w:szCs w:val="19"/>
          <w:color w:val="auto"/>
        </w:rPr>
        <w:t>Without qualification, for any nominations or any other business to be properly brought before an annual meeting by a stockholder pursuant to clause (c) of paragraph (A)(1) of this Section 2.10, the stockholder must have given timely notice thereof in writing to the Secretary of the Corporation and such other business must otherwise be a proper matter for stockholder action. To be timely, a stockholder’s notice shall be delivered to the Secretary at the principal executive offices of the Corporation not later than the close of business on the 60th day nor earlier than the close of business on the 90th day prior to the first anniversary of the preceding year’s annual meeting; provided, however, that in the event that the date of the annual meeting is more than 30 days before or more than 60 days after such anniversary date, notice by the stockholder to be timely must be so delivered not earlier than the close of business on the 90th day prior to such annual meeting and not later than the close of business on the later of the 60th day prior to such annual meeting or the 10th day following the day on which public announcement of the date of such meeting is first made by the Corporation. In no event shall the public announcement of an adjournment or postponement of an annual meeting commence a new time period for the giving of a stockholder’s notice as described above.</w:t>
      </w:r>
    </w:p>
    <w:p>
      <w:pPr>
        <w:spacing w:after="0" w:line="187" w:lineRule="exact"/>
        <w:rPr>
          <w:rFonts w:ascii="Arial" w:cs="Arial" w:eastAsia="Arial" w:hAnsi="Arial"/>
          <w:sz w:val="19"/>
          <w:szCs w:val="19"/>
          <w:color w:val="auto"/>
        </w:rPr>
      </w:pPr>
    </w:p>
    <w:p>
      <w:pPr>
        <w:ind w:left="200" w:right="239" w:firstLine="333"/>
        <w:spacing w:after="0" w:line="269" w:lineRule="auto"/>
        <w:tabs>
          <w:tab w:leader="none" w:pos="830" w:val="left"/>
        </w:tabs>
        <w:numPr>
          <w:ilvl w:val="0"/>
          <w:numId w:val="43"/>
        </w:numPr>
        <w:rPr>
          <w:rFonts w:ascii="Arial" w:cs="Arial" w:eastAsia="Arial" w:hAnsi="Arial"/>
          <w:sz w:val="19"/>
          <w:szCs w:val="19"/>
          <w:color w:val="auto"/>
        </w:rPr>
      </w:pPr>
      <w:r>
        <w:rPr>
          <w:rFonts w:ascii="Arial" w:cs="Arial" w:eastAsia="Arial" w:hAnsi="Arial"/>
          <w:sz w:val="19"/>
          <w:szCs w:val="19"/>
          <w:color w:val="auto"/>
        </w:rPr>
        <w:t>To be in proper form, a stockholder’s notice (whether given pursuant to paragraph (A)(l) above or paragraph (B) below) to the Secretary must: (a) set forth, as to the stockholder giving the notice and the beneficial owner, if any, on whose behalf the nomination or proposal is made (i) the name and address of such stockholder, as they appear on the Corporation’s books, and of such beneficial owner, if any, (ii) (A) the class or series and number of shares of the Corporation which are, directly or indirectly, owned beneficially and of record by such stockholder and such beneficial owner, (B)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capital stock of the Corporation or otherwise (a “Derivative Instrument”) directly or indirectly owned beneficially by such stockholder and any other direct or indirect opportunity to profit or share in any profit derived from any increase or decrease in the value of shares of the Corporation, (C) any proxy, contract, arrangement, understanding, or relationship pursuant to which such stockholder has a right to vote any shares of any security of the Company, (D) any short interest in any security of the Company (for purposes of this Section 2.10,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(E) any rights to dividends on the shares of the Corporation owned beneficially by such stockholder that are separated or separable from the underlying shares of the Corporation, (F) any proportionate interest in shares of the Corporation or Derivative Instruments held, directly or indirectly, by a general or limited partnership in which such stockholder is a general partner or, directly or</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447675</wp:posOffset>
            </wp:positionV>
            <wp:extent cx="545211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8" w:right="1440" w:bottom="1440" w:gutter="0" w:footer="0" w:header="0"/>
        </w:sectPr>
      </w:pPr>
    </w:p>
    <w:bookmarkStart w:id="96" w:name="page97"/>
    <w:bookmarkEnd w:id="96"/>
    <w:p>
      <w:pPr>
        <w:ind w:left="200" w:right="259"/>
        <w:spacing w:after="0" w:line="268" w:lineRule="auto"/>
        <w:rPr>
          <w:sz w:val="20"/>
          <w:szCs w:val="20"/>
          <w:color w:val="auto"/>
        </w:rPr>
      </w:pPr>
      <w:r>
        <w:rPr>
          <w:rFonts w:ascii="Arial" w:cs="Arial" w:eastAsia="Arial" w:hAnsi="Arial"/>
          <w:sz w:val="19"/>
          <w:szCs w:val="19"/>
          <w:color w:val="auto"/>
        </w:rPr>
        <w:t>indirectly, beneficially owns an interest in a general partner and (G) any performance-related fees (other than an asset-based fee) that such stockholder is entitled to based on any increase or decrease in the value of shares of the Corporation or Derivative Instruments, if any, as of the date of such notice including, without limitation, any such interests held by members of such stockholder’s immediate family sharing the same household (which information shall be supplemented by such stockholder and beneficial owner, if any, not later than 10 days after the record date for the meeting to disclose such ownership as of the record date), and (iii) any other information relating to such stockholder and beneficial owner, if any, that would be required to be disclosed in a proxy statement or other filings required to be made in connection with solicitations of proxies for, as applicable, the proposal and/or for the election of directors in a contested election pursuant to Section 14 of the Securities Exchange Act of 1934, as amended (the “Exchange Act”), and the rules and regulations promulgated thereunder; (b) if the notice relates to any business other than a nomination of a director or directors that the stockholder proposes to bring before the meeting, set forth (i) a brief description of the business desired to be brought before the meeting, the reasons for conducting such business at the meeting and any material interest of such stockholder and beneficial owner, if any, in such business and (ii) a description of all agreements, arrangements and understandings between such stockholder and beneficial owner, if any, and any other person or persons (including their names) in connection with the proposal of such business by such stockholder; (c) set forth, as to each person, if any, whom the stockholder proposes to nominate for election or reelection to the Board of Directors (i) all information relating to such person that would be required to be disclosed in a proxy statement or other filings required to be made in connection with solicitations of proxies for election of directors in a contested election pursuant to Section 14 of the Exchange Act and the rules and regulations promulgated thereunder (including such person’s written consent to being named in the proxy statement as a nominee and to serving as a director if elected) and (ii) a description of all direct and indirect compensation and other material monetary agreements, arrangements and understandings during the past three years, and any other material relationships, between or among such stockholder and beneficial owner, if any, and their respective affiliates and associates, or others acting in concert therewith, on the one hand, and each proposed nominee, and his or her respective affiliates and associates, or others acting in concert therewith, on the other hand, including, without limitation all information that would be required to be disclosed pursuant to Rule 404 promulgated under Regulation S-K (or any successor rule) if the stockholder making the nomination and any beneficial owner on whose behalf the nomination is made, if any, or any affiliate or associate thereof or person acting in concert therewith, were the “registrant” for purposes of such rule and the nominee were a director or executive officer of such registrant; and (d) with respect to each nominee for election or reelection to the Board of Directors, include a completed, dated and signed questionnaire, representation and agreement and any other information required by paragraph (D) below.</w:t>
      </w:r>
    </w:p>
    <w:p>
      <w:pPr>
        <w:spacing w:after="0" w:line="200" w:lineRule="exact"/>
        <w:rPr>
          <w:sz w:val="20"/>
          <w:szCs w:val="20"/>
          <w:color w:val="auto"/>
        </w:rPr>
      </w:pPr>
    </w:p>
    <w:p>
      <w:pPr>
        <w:spacing w:after="0" w:line="251" w:lineRule="exact"/>
        <w:rPr>
          <w:sz w:val="20"/>
          <w:szCs w:val="20"/>
          <w:color w:val="auto"/>
        </w:rPr>
      </w:pPr>
    </w:p>
    <w:p>
      <w:pPr>
        <w:ind w:left="200" w:right="219" w:firstLine="333"/>
        <w:spacing w:after="0" w:line="277" w:lineRule="auto"/>
        <w:tabs>
          <w:tab w:leader="none" w:pos="830" w:val="left"/>
        </w:tabs>
        <w:numPr>
          <w:ilvl w:val="0"/>
          <w:numId w:val="44"/>
        </w:numPr>
        <w:rPr>
          <w:rFonts w:ascii="Arial" w:cs="Arial" w:eastAsia="Arial" w:hAnsi="Arial"/>
          <w:sz w:val="19"/>
          <w:szCs w:val="19"/>
          <w:color w:val="auto"/>
        </w:rPr>
      </w:pPr>
      <w:r>
        <w:rPr>
          <w:rFonts w:ascii="Arial" w:cs="Arial" w:eastAsia="Arial" w:hAnsi="Arial"/>
          <w:sz w:val="19"/>
          <w:szCs w:val="19"/>
          <w:color w:val="auto"/>
        </w:rPr>
        <w:t>Notwithstanding anything in the second sentence of paragraph (A)(2) of this Section 2.10 to the contrary, in the event that the number of directors to be elected to the Board of Directors of the Corporation is increased and there is no public announcement by the Corporation naming all of the nominees for director or specifying the size of the increased Board of Directors at least 70 days prior to the first anniversary of the preceding year’s annual meeting, a stockholder’s notice required by this Section 2.10 shall also be considered timely, but only with respect to nominees for any new positions created by such increase, if it shall be delivered to the Secretary at the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447675</wp:posOffset>
            </wp:positionV>
            <wp:extent cx="545211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8" w:right="1440" w:bottom="1440" w:gutter="0" w:footer="0" w:header="0"/>
        </w:sectPr>
      </w:pPr>
    </w:p>
    <w:bookmarkStart w:id="97" w:name="page98"/>
    <w:bookmarkEnd w:id="97"/>
    <w:p>
      <w:pPr>
        <w:ind w:left="200" w:right="459"/>
        <w:spacing w:after="0" w:line="328" w:lineRule="auto"/>
        <w:rPr>
          <w:sz w:val="20"/>
          <w:szCs w:val="20"/>
          <w:color w:val="auto"/>
        </w:rPr>
      </w:pPr>
      <w:r>
        <w:rPr>
          <w:rFonts w:ascii="Arial" w:cs="Arial" w:eastAsia="Arial" w:hAnsi="Arial"/>
          <w:sz w:val="19"/>
          <w:szCs w:val="19"/>
          <w:color w:val="auto"/>
        </w:rPr>
        <w:t>principal executive offices of the Corporation not later than the close of business on the 10th day following the day on which such public announcement is first made by the Corporation.</w:t>
      </w:r>
    </w:p>
    <w:p>
      <w:pPr>
        <w:spacing w:after="0" w:line="132" w:lineRule="exact"/>
        <w:rPr>
          <w:sz w:val="20"/>
          <w:szCs w:val="20"/>
          <w:color w:val="auto"/>
        </w:rPr>
      </w:pPr>
    </w:p>
    <w:p>
      <w:pPr>
        <w:ind w:left="200" w:right="219" w:firstLine="333"/>
        <w:spacing w:after="0" w:line="269" w:lineRule="auto"/>
        <w:tabs>
          <w:tab w:leader="none" w:pos="866" w:val="left"/>
        </w:tabs>
        <w:numPr>
          <w:ilvl w:val="0"/>
          <w:numId w:val="45"/>
        </w:numPr>
        <w:rPr>
          <w:rFonts w:ascii="Arial" w:cs="Arial" w:eastAsia="Arial" w:hAnsi="Arial"/>
          <w:sz w:val="19"/>
          <w:szCs w:val="19"/>
          <w:color w:val="auto"/>
        </w:rPr>
      </w:pPr>
      <w:r>
        <w:rPr>
          <w:rFonts w:ascii="Arial" w:cs="Arial" w:eastAsia="Arial" w:hAnsi="Arial"/>
          <w:sz w:val="19"/>
          <w:szCs w:val="19"/>
          <w:color w:val="auto"/>
        </w:rPr>
        <w:t>Special Meetings of Stockholders. Only such business shall be conducted at a special meeting of stockholders as shall have been brought before the meeting pursuant to the Corporation’s notice of meeting. Nominations of persons for election to the Board of Directors may be made at a special meeting of stockholders at which directors are to be elected pursuant to the Corporation’s notice of meeting (1) by or at the direction of the Board of Directors or (2) provided that the Board of Directors has determined that directors shall be elected at such meeting, by any stockholder of the Corporation who (a) is a stockholder of record at the time of giving of notice provided for in this Section 2.10, (b) is entitled to vote at the meeting, and (c) complies with the notice procedures set forth in this Section 2.10 as to such nomination. In the event the Corporation calls a special meeting of stockholders for the purpose of electing one or more directors to the Board of Directors, any such stockholder may nominate a person or persons (as the case may be), for election to such position(s) as specified in the Corporation’s notice of meeting, if the stockholder’s notice required by paragraph (A)(2) of this Section 2.10 with respect to any nomination (including the completed and signed questionnaire, representation and agreement required by paragraph (D) below) shall be delivered to the Secretary at the principal executive offices of the Corporation not earlier than the close of business on the 90th day prior to the date of such special meeting and not later than the close of business on the later of the 60th day prior to the date of such special meeting or, if the first public announcement of the date of such special meeting is less than 70 days prior to the date of such special meeting, the 10th day following the day on which public announcement is first made of the date of the special meeting and of the nominees proposed by the Board of Directors to be elected at such meeting. In no event shall the public announcement of an adjournment or postponement of a special meeting commence a new time period for the giving of a stockholder’s notice as described above.</w:t>
      </w:r>
    </w:p>
    <w:p>
      <w:pPr>
        <w:spacing w:after="0" w:line="200" w:lineRule="exact"/>
        <w:rPr>
          <w:rFonts w:ascii="Arial" w:cs="Arial" w:eastAsia="Arial" w:hAnsi="Arial"/>
          <w:sz w:val="19"/>
          <w:szCs w:val="19"/>
          <w:color w:val="auto"/>
        </w:rPr>
      </w:pPr>
    </w:p>
    <w:p>
      <w:pPr>
        <w:spacing w:after="0" w:line="244" w:lineRule="exact"/>
        <w:rPr>
          <w:rFonts w:ascii="Arial" w:cs="Arial" w:eastAsia="Arial" w:hAnsi="Arial"/>
          <w:sz w:val="19"/>
          <w:szCs w:val="19"/>
          <w:color w:val="auto"/>
        </w:rPr>
      </w:pPr>
    </w:p>
    <w:p>
      <w:pPr>
        <w:ind w:left="880" w:hanging="347"/>
        <w:spacing w:after="0"/>
        <w:tabs>
          <w:tab w:leader="none" w:pos="880" w:val="left"/>
        </w:tabs>
        <w:numPr>
          <w:ilvl w:val="0"/>
          <w:numId w:val="45"/>
        </w:numPr>
        <w:rPr>
          <w:rFonts w:ascii="Arial" w:cs="Arial" w:eastAsia="Arial" w:hAnsi="Arial"/>
          <w:sz w:val="22"/>
          <w:szCs w:val="22"/>
          <w:color w:val="auto"/>
        </w:rPr>
      </w:pPr>
      <w:r>
        <w:rPr>
          <w:rFonts w:ascii="Arial" w:cs="Arial" w:eastAsia="Arial" w:hAnsi="Arial"/>
          <w:sz w:val="22"/>
          <w:szCs w:val="22"/>
          <w:color w:val="auto"/>
        </w:rPr>
        <w:t>General.</w:t>
      </w:r>
    </w:p>
    <w:p>
      <w:pPr>
        <w:spacing w:after="0" w:line="233" w:lineRule="exact"/>
        <w:rPr>
          <w:sz w:val="20"/>
          <w:szCs w:val="20"/>
          <w:color w:val="auto"/>
        </w:rPr>
      </w:pPr>
    </w:p>
    <w:p>
      <w:pPr>
        <w:ind w:left="200" w:right="259" w:firstLine="333"/>
        <w:spacing w:after="0" w:line="245" w:lineRule="auto"/>
        <w:tabs>
          <w:tab w:leader="none" w:pos="830" w:val="left"/>
        </w:tabs>
        <w:numPr>
          <w:ilvl w:val="0"/>
          <w:numId w:val="46"/>
        </w:numPr>
        <w:rPr>
          <w:rFonts w:ascii="Arial" w:cs="Arial" w:eastAsia="Arial" w:hAnsi="Arial"/>
          <w:sz w:val="21"/>
          <w:szCs w:val="21"/>
          <w:color w:val="auto"/>
        </w:rPr>
      </w:pPr>
      <w:r>
        <w:rPr>
          <w:rFonts w:ascii="Arial" w:cs="Arial" w:eastAsia="Arial" w:hAnsi="Arial"/>
          <w:sz w:val="21"/>
          <w:szCs w:val="21"/>
          <w:color w:val="auto"/>
        </w:rPr>
        <w:t>Only such persons who are nominated in accordance with the procedures set forth in this Section 2.10 shall be eligible for election to the Board of Directors at a meeting of stockholders and only such other business shall be conducted at a meeting of stockholders as shall have been brought before the meeting in accordance with the procedures set forth in this Section 2.10. Except as otherwise provided by law, the Articles of Incorporation or these Bylaws, the Chairman of the meeting shall have the power and duty to determine whether a nomination or any other business proposed to be brought before the meeting was made or proposed, as the case may be, in accordance with the procedures set forth in this Section 2.10 and, if any proposed nomination or business is not in compliance with this Section 2.10, to declare that such defective proposal or nomination shall be disregarded.</w:t>
      </w:r>
    </w:p>
    <w:p>
      <w:pPr>
        <w:spacing w:after="0" w:line="207" w:lineRule="exact"/>
        <w:rPr>
          <w:rFonts w:ascii="Arial" w:cs="Arial" w:eastAsia="Arial" w:hAnsi="Arial"/>
          <w:sz w:val="21"/>
          <w:szCs w:val="21"/>
          <w:color w:val="auto"/>
        </w:rPr>
      </w:pPr>
    </w:p>
    <w:p>
      <w:pPr>
        <w:ind w:left="200" w:right="259" w:firstLine="333"/>
        <w:spacing w:after="0" w:line="238" w:lineRule="auto"/>
        <w:tabs>
          <w:tab w:leader="none" w:pos="830" w:val="left"/>
        </w:tabs>
        <w:numPr>
          <w:ilvl w:val="0"/>
          <w:numId w:val="46"/>
        </w:numPr>
        <w:rPr>
          <w:rFonts w:ascii="Arial" w:cs="Arial" w:eastAsia="Arial" w:hAnsi="Arial"/>
          <w:sz w:val="22"/>
          <w:szCs w:val="22"/>
          <w:color w:val="auto"/>
        </w:rPr>
      </w:pPr>
      <w:r>
        <w:rPr>
          <w:rFonts w:ascii="Arial" w:cs="Arial" w:eastAsia="Arial" w:hAnsi="Arial"/>
          <w:sz w:val="22"/>
          <w:szCs w:val="22"/>
          <w:color w:val="auto"/>
        </w:rPr>
        <w:t>For purposes of this Section 2.10, “public announcement” shall mean disclosure in a press release reported by a national news service or in a document publicly filed by the Corporation with the Securities and Exchange Commission pursuant to Section 13, 14 or 15(d) of the Exchange Act and the rules and regulations promulgated thereunder.</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447675</wp:posOffset>
            </wp:positionV>
            <wp:extent cx="545211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8" w:right="1440" w:bottom="1440" w:gutter="0" w:footer="0" w:header="0"/>
        </w:sectPr>
      </w:pPr>
    </w:p>
    <w:bookmarkStart w:id="98" w:name="page99"/>
    <w:bookmarkEnd w:id="98"/>
    <w:p>
      <w:pPr>
        <w:ind w:left="200" w:right="219" w:firstLine="333"/>
        <w:spacing w:after="0" w:line="273" w:lineRule="auto"/>
        <w:tabs>
          <w:tab w:leader="none" w:pos="830" w:val="left"/>
        </w:tabs>
        <w:numPr>
          <w:ilvl w:val="0"/>
          <w:numId w:val="47"/>
        </w:numPr>
        <w:rPr>
          <w:rFonts w:ascii="Arial" w:cs="Arial" w:eastAsia="Arial" w:hAnsi="Arial"/>
          <w:sz w:val="19"/>
          <w:szCs w:val="19"/>
          <w:color w:val="auto"/>
        </w:rPr>
      </w:pPr>
      <w:r>
        <w:rPr>
          <w:rFonts w:ascii="Arial" w:cs="Arial" w:eastAsia="Arial" w:hAnsi="Arial"/>
          <w:sz w:val="19"/>
          <w:szCs w:val="19"/>
          <w:color w:val="auto"/>
        </w:rPr>
        <w:t>Notwithstanding the foregoing provisions of this Section 2.10, a stockholder shall also comply with all applicable requirements of the Exchange Act and the rules and regulations thereunder with respect to the matters set forth in this Section 2.10; provided, however, that any reference in these Bylaws to the Exchange Act or the rules and regulations promulgated thereunder are not intended to and shall not limit the requirements applicable to nominations or proposals as to any other business to be considered pursuant to paragraph (A)(1)(c) or paragraph (B) of this Section 2.10. Nothing in this Section 2.10 shall be deemed to affect any rights (i) of stockholders to request inclusion of proposals in the Corporation’s proxy statement pursuant to Rule 14a-8 under the Exchange Act or (ii) of the holders of any series of preferred stock if and to the extent provided for under law, the Articles of Incorporation or these Bylaws.</w:t>
      </w:r>
    </w:p>
    <w:p>
      <w:pPr>
        <w:spacing w:after="0" w:line="188" w:lineRule="exact"/>
        <w:rPr>
          <w:sz w:val="20"/>
          <w:szCs w:val="20"/>
          <w:color w:val="auto"/>
        </w:rPr>
      </w:pPr>
    </w:p>
    <w:p>
      <w:pPr>
        <w:ind w:left="200" w:right="479" w:firstLine="333"/>
        <w:spacing w:after="0" w:line="273" w:lineRule="auto"/>
        <w:tabs>
          <w:tab w:leader="none" w:pos="878" w:val="left"/>
        </w:tabs>
        <w:numPr>
          <w:ilvl w:val="0"/>
          <w:numId w:val="48"/>
        </w:numPr>
        <w:rPr>
          <w:rFonts w:ascii="Arial" w:cs="Arial" w:eastAsia="Arial" w:hAnsi="Arial"/>
          <w:sz w:val="19"/>
          <w:szCs w:val="19"/>
          <w:color w:val="auto"/>
        </w:rPr>
      </w:pPr>
      <w:r>
        <w:rPr>
          <w:rFonts w:ascii="Arial" w:cs="Arial" w:eastAsia="Arial" w:hAnsi="Arial"/>
          <w:sz w:val="19"/>
          <w:szCs w:val="19"/>
          <w:color w:val="auto"/>
        </w:rPr>
        <w:t>Submission of Questionnaire, Representation and Agreement; Other Information. To be eligible to be a nominee for election or reelection as a director of the Corporation, a person must deliver (in accordance with the time periods prescribed for delivery of notice under this Section</w:t>
      </w:r>
    </w:p>
    <w:p>
      <w:pPr>
        <w:spacing w:after="0" w:line="1" w:lineRule="exact"/>
        <w:rPr>
          <w:rFonts w:ascii="Arial" w:cs="Arial" w:eastAsia="Arial" w:hAnsi="Arial"/>
          <w:sz w:val="19"/>
          <w:szCs w:val="19"/>
          <w:color w:val="auto"/>
        </w:rPr>
      </w:pPr>
    </w:p>
    <w:p>
      <w:pPr>
        <w:ind w:left="200" w:right="239"/>
        <w:spacing w:after="0" w:line="268" w:lineRule="auto"/>
        <w:rPr>
          <w:rFonts w:ascii="Arial" w:cs="Arial" w:eastAsia="Arial" w:hAnsi="Arial"/>
          <w:sz w:val="19"/>
          <w:szCs w:val="19"/>
          <w:color w:val="auto"/>
        </w:rPr>
      </w:pPr>
      <w:r>
        <w:rPr>
          <w:rFonts w:ascii="Arial" w:cs="Arial" w:eastAsia="Arial" w:hAnsi="Arial"/>
          <w:sz w:val="19"/>
          <w:szCs w:val="19"/>
          <w:color w:val="auto"/>
        </w:rPr>
        <w:t>2.10) to the Secretary at the principal executive offices of the Corporation a written questionnaire with respect to the background and qualification of such person and the background of any other person or entity on whose behalf the nomination is being made (which questionnaire shall be provided by the Secretary upon written request) and a written representation and agreement (in the form provided by the Secretary upon written request) that such person (1) is not and will not become a party to (a) any agreement, arrangement or understanding with, and has not given any commitment or assurance to, any person or entity as to how such person, if elected as a director of the Corporation, will act or vote on any issue or question (a “Voting Commitment”) that has not been disclosed to the Corporation or (b) any Voting Commitment that could limit or interfere with such person’s ability to comply, if elected as a director of the Corporation, with such person’s fiduciary duties under applicable law, (2)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therein, and (3) in such person’s individual capacity and on behalf of any person or entity on whose behalf the nomination is being made, would be in compliance, if elected as a director of the Corporation, and will comply with all applicable publicly disclosed corporate governance, conflict of interest, confidentiality and stock ownership and trading policies and guidelines of the Corporation. The Corporation may also require any proposed nominee to furnish such other information as may reasonably be required by the Corporation to determine the eligibility of such proposed nominee to serve as an independent director of the Corporation or that could be material to a reasonable stockholder’s understanding of the independence, or lack thereof, of such nominee.</w:t>
      </w:r>
    </w:p>
    <w:p>
      <w:pPr>
        <w:spacing w:after="0" w:line="200" w:lineRule="exact"/>
        <w:rPr>
          <w:sz w:val="20"/>
          <w:szCs w:val="20"/>
          <w:color w:val="auto"/>
        </w:rPr>
      </w:pPr>
    </w:p>
    <w:p>
      <w:pPr>
        <w:spacing w:after="0" w:line="247"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Section 2.11 Participation by Remote Communication.</w:t>
      </w:r>
    </w:p>
    <w:p>
      <w:pPr>
        <w:spacing w:after="0" w:line="206" w:lineRule="exact"/>
        <w:rPr>
          <w:sz w:val="20"/>
          <w:szCs w:val="20"/>
          <w:color w:val="auto"/>
        </w:rPr>
      </w:pPr>
    </w:p>
    <w:p>
      <w:pPr>
        <w:ind w:left="200" w:right="239"/>
        <w:spacing w:after="0" w:line="275" w:lineRule="auto"/>
        <w:rPr>
          <w:sz w:val="20"/>
          <w:szCs w:val="20"/>
          <w:color w:val="auto"/>
        </w:rPr>
      </w:pPr>
      <w:r>
        <w:rPr>
          <w:rFonts w:ascii="Arial" w:cs="Arial" w:eastAsia="Arial" w:hAnsi="Arial"/>
          <w:sz w:val="19"/>
          <w:szCs w:val="19"/>
          <w:color w:val="auto"/>
        </w:rPr>
        <w:t>Stockholders not physically present at a meeting of the stockholders may participate in the meeting by remote communication, including (without limitation) electronic communication, videoconference, teleconference, or other available technology if the Corporation implements reasonable measures to: (a) verify the identity of each stockholder participating by remote communication; and (b) provide the stockholders a reasonable opportunity to participate and vote, including an opportunity to communicate and read or hear the proceedings in a substantially concurrent manner with the proceedings. Stockholders participating by remote communication shall be considered present in person at the meeting.</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III</w:t>
      </w:r>
    </w:p>
    <w:p>
      <w:pPr>
        <w:sectPr>
          <w:pgSz w:w="11900" w:h="16838" w:orient="portrait"/>
          <w:cols w:equalWidth="0" w:num="1">
            <w:col w:w="9019"/>
          </w:cols>
          <w:pgMar w:left="1440" w:top="88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476885</wp:posOffset>
            </wp:positionV>
            <wp:extent cx="545211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8" w:right="1440" w:bottom="1440" w:gutter="0" w:footer="0" w:header="0"/>
          <w:type w:val="continuous"/>
        </w:sectPr>
      </w:pPr>
    </w:p>
    <w:bookmarkStart w:id="99" w:name="page100"/>
    <w:bookmarkEnd w:id="99"/>
    <w:p>
      <w:pPr>
        <w:ind w:left="3260"/>
        <w:spacing w:after="0"/>
        <w:rPr>
          <w:sz w:val="20"/>
          <w:szCs w:val="20"/>
          <w:color w:val="auto"/>
        </w:rPr>
      </w:pPr>
      <w:r>
        <w:rPr>
          <w:rFonts w:ascii="Arial" w:cs="Arial" w:eastAsia="Arial" w:hAnsi="Arial"/>
          <w:sz w:val="22"/>
          <w:szCs w:val="22"/>
          <w:b w:val="1"/>
          <w:bCs w:val="1"/>
          <w:color w:val="auto"/>
        </w:rPr>
        <w:t>BOARD OF DIRECTORS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Section 3.1 Number and Term of Office</w:t>
      </w:r>
    </w:p>
    <w:p>
      <w:pPr>
        <w:spacing w:after="0" w:line="233" w:lineRule="exact"/>
        <w:rPr>
          <w:sz w:val="20"/>
          <w:szCs w:val="20"/>
          <w:color w:val="auto"/>
        </w:rPr>
      </w:pPr>
    </w:p>
    <w:p>
      <w:pPr>
        <w:jc w:val="both"/>
        <w:ind w:left="200" w:right="259"/>
        <w:spacing w:after="0"/>
        <w:rPr>
          <w:sz w:val="20"/>
          <w:szCs w:val="20"/>
          <w:color w:val="auto"/>
        </w:rPr>
      </w:pPr>
      <w:r>
        <w:rPr>
          <w:rFonts w:ascii="Arial" w:cs="Arial" w:eastAsia="Arial" w:hAnsi="Arial"/>
          <w:sz w:val="22"/>
          <w:szCs w:val="22"/>
          <w:color w:val="auto"/>
        </w:rPr>
        <w:t>The Board of Directors shall consist of a minimum of one director. Each director shall be selected for a term of one year and until his successor is elected and qualified, except as otherwise provided herein or required by law.</w:t>
      </w:r>
    </w:p>
    <w:p>
      <w:pPr>
        <w:spacing w:after="0" w:line="186" w:lineRule="exact"/>
        <w:rPr>
          <w:sz w:val="20"/>
          <w:szCs w:val="20"/>
          <w:color w:val="auto"/>
        </w:rPr>
      </w:pPr>
    </w:p>
    <w:p>
      <w:pPr>
        <w:ind w:left="200" w:right="279"/>
        <w:spacing w:after="0" w:line="248" w:lineRule="auto"/>
        <w:rPr>
          <w:sz w:val="20"/>
          <w:szCs w:val="20"/>
          <w:color w:val="auto"/>
        </w:rPr>
      </w:pPr>
      <w:r>
        <w:rPr>
          <w:rFonts w:ascii="Arial" w:cs="Arial" w:eastAsia="Arial" w:hAnsi="Arial"/>
          <w:sz w:val="21"/>
          <w:szCs w:val="21"/>
          <w:color w:val="auto"/>
        </w:rPr>
        <w:t>Whenever the authorized number of directors is increased between annual meetings of the shareholders, a majority of the directors then in office shall have the power to elect such new directors for the balance of a term and until their successors are elected and qualified. Any decrease in the authorized number of directors shall not become effective until the expiration of the term of the directors then in office unless, at the time of such decrease, there shall be vacancies on the board which are being eliminated by the decrease.</w:t>
      </w:r>
    </w:p>
    <w:p>
      <w:pPr>
        <w:spacing w:after="0" w:line="204"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Section 3.2 Vacancies</w:t>
      </w:r>
    </w:p>
    <w:p>
      <w:pPr>
        <w:spacing w:after="0" w:line="233" w:lineRule="exact"/>
        <w:rPr>
          <w:sz w:val="20"/>
          <w:szCs w:val="20"/>
          <w:color w:val="auto"/>
        </w:rPr>
      </w:pPr>
    </w:p>
    <w:p>
      <w:pPr>
        <w:ind w:left="200" w:right="479"/>
        <w:spacing w:after="0" w:line="238" w:lineRule="auto"/>
        <w:rPr>
          <w:sz w:val="20"/>
          <w:szCs w:val="20"/>
          <w:color w:val="auto"/>
        </w:rPr>
      </w:pPr>
      <w:r>
        <w:rPr>
          <w:rFonts w:ascii="Arial" w:cs="Arial" w:eastAsia="Arial" w:hAnsi="Arial"/>
          <w:sz w:val="22"/>
          <w:szCs w:val="22"/>
          <w:color w:val="auto"/>
        </w:rPr>
        <w:t>Vacancies in the board of directors may be filled by a majority vote of the remaining directors, though less than a quorum, by a sole remaining director, or by the shareholders. Each director so elected shall hold office until a successor is elected at an annual or a special meeting of the shareholders.</w:t>
      </w:r>
    </w:p>
    <w:p>
      <w:pPr>
        <w:spacing w:after="0" w:line="185" w:lineRule="exact"/>
        <w:rPr>
          <w:sz w:val="20"/>
          <w:szCs w:val="20"/>
          <w:color w:val="auto"/>
        </w:rPr>
      </w:pPr>
    </w:p>
    <w:p>
      <w:pPr>
        <w:ind w:left="200" w:right="479"/>
        <w:spacing w:after="0"/>
        <w:rPr>
          <w:sz w:val="20"/>
          <w:szCs w:val="20"/>
          <w:color w:val="auto"/>
        </w:rPr>
      </w:pPr>
      <w:r>
        <w:rPr>
          <w:rFonts w:ascii="Arial" w:cs="Arial" w:eastAsia="Arial" w:hAnsi="Arial"/>
          <w:sz w:val="22"/>
          <w:szCs w:val="22"/>
          <w:color w:val="auto"/>
        </w:rPr>
        <w:t>A vacancy in the board of directors shall be deemed to exist in case of the death, resignation or removal of any director; if the authorized number of directors is increased; or if the shareholders fail to elect the full authorized number of directors.</w:t>
      </w:r>
    </w:p>
    <w:p>
      <w:pPr>
        <w:spacing w:after="0" w:line="186" w:lineRule="exact"/>
        <w:rPr>
          <w:sz w:val="20"/>
          <w:szCs w:val="20"/>
          <w:color w:val="auto"/>
        </w:rPr>
      </w:pPr>
    </w:p>
    <w:p>
      <w:pPr>
        <w:ind w:left="200" w:right="559"/>
        <w:spacing w:after="0" w:line="238" w:lineRule="auto"/>
        <w:rPr>
          <w:sz w:val="20"/>
          <w:szCs w:val="20"/>
          <w:color w:val="auto"/>
        </w:rPr>
      </w:pPr>
      <w:r>
        <w:rPr>
          <w:rFonts w:ascii="Arial" w:cs="Arial" w:eastAsia="Arial" w:hAnsi="Arial"/>
          <w:sz w:val="22"/>
          <w:szCs w:val="22"/>
          <w:color w:val="auto"/>
        </w:rPr>
        <w:t>The shareholders may elect a director at any time to fill any vacancy not filled by the directors. If the board of directors accepts the resignation of a director tendered to take effect at a future time, the board or the shareholders shall have power to elect a successor to take office when the resignation is to become effective.</w:t>
      </w:r>
    </w:p>
    <w:p>
      <w:pPr>
        <w:spacing w:after="0" w:line="185" w:lineRule="exact"/>
        <w:rPr>
          <w:sz w:val="20"/>
          <w:szCs w:val="20"/>
          <w:color w:val="auto"/>
        </w:rPr>
      </w:pPr>
    </w:p>
    <w:p>
      <w:pPr>
        <w:ind w:left="200" w:right="1139"/>
        <w:spacing w:after="0" w:line="250" w:lineRule="auto"/>
        <w:rPr>
          <w:sz w:val="20"/>
          <w:szCs w:val="20"/>
          <w:color w:val="auto"/>
        </w:rPr>
      </w:pPr>
      <w:r>
        <w:rPr>
          <w:rFonts w:ascii="Arial" w:cs="Arial" w:eastAsia="Arial" w:hAnsi="Arial"/>
          <w:sz w:val="22"/>
          <w:szCs w:val="22"/>
          <w:color w:val="auto"/>
        </w:rPr>
        <w:t>No reduction of the authorized number of directors shall have the effect of removing any director prior to the expiration of the director’s term of office.</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Section 3.3 Regular Meetings</w:t>
      </w:r>
    </w:p>
    <w:p>
      <w:pPr>
        <w:spacing w:after="0" w:line="233" w:lineRule="exact"/>
        <w:rPr>
          <w:sz w:val="20"/>
          <w:szCs w:val="20"/>
          <w:color w:val="auto"/>
        </w:rPr>
      </w:pPr>
    </w:p>
    <w:p>
      <w:pPr>
        <w:ind w:left="200" w:right="499"/>
        <w:spacing w:after="0" w:line="297" w:lineRule="auto"/>
        <w:rPr>
          <w:sz w:val="20"/>
          <w:szCs w:val="20"/>
          <w:color w:val="auto"/>
        </w:rPr>
      </w:pPr>
      <w:r>
        <w:rPr>
          <w:rFonts w:ascii="Arial" w:cs="Arial" w:eastAsia="Arial" w:hAnsi="Arial"/>
          <w:sz w:val="19"/>
          <w:szCs w:val="19"/>
          <w:color w:val="auto"/>
        </w:rPr>
        <w:t>Regular meetings of the Board of Directors shall be held at such place or places, on such date or dates, and at such time or times as shall have been established by the Board of Directors and publicized among all directors. A notice of each regular meeting shall not be required.</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Section 3.4 Special Meetings</w:t>
      </w:r>
    </w:p>
    <w:p>
      <w:pPr>
        <w:spacing w:after="0" w:line="233" w:lineRule="exact"/>
        <w:rPr>
          <w:sz w:val="20"/>
          <w:szCs w:val="20"/>
          <w:color w:val="auto"/>
        </w:rPr>
      </w:pPr>
    </w:p>
    <w:p>
      <w:pPr>
        <w:ind w:left="200"/>
        <w:spacing w:after="0"/>
        <w:rPr>
          <w:sz w:val="20"/>
          <w:szCs w:val="20"/>
          <w:color w:val="auto"/>
        </w:rPr>
      </w:pPr>
      <w:r>
        <w:rPr>
          <w:rFonts w:ascii="Arial" w:cs="Arial" w:eastAsia="Arial" w:hAnsi="Arial"/>
          <w:sz w:val="19"/>
          <w:szCs w:val="19"/>
          <w:color w:val="auto"/>
        </w:rPr>
        <w:t>Special meetings of the Board of Directors may be called by one-third of the directors then in</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447675</wp:posOffset>
            </wp:positionV>
            <wp:extent cx="545211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100" w:name="page101"/>
    <w:bookmarkEnd w:id="100"/>
    <w:p>
      <w:pPr>
        <w:ind w:left="200" w:right="239"/>
        <w:spacing w:after="0" w:line="234" w:lineRule="auto"/>
        <w:rPr>
          <w:sz w:val="20"/>
          <w:szCs w:val="20"/>
          <w:color w:val="auto"/>
        </w:rPr>
      </w:pPr>
      <w:r>
        <w:rPr>
          <w:rFonts w:ascii="Arial" w:cs="Arial" w:eastAsia="Arial" w:hAnsi="Arial"/>
          <w:sz w:val="22"/>
          <w:szCs w:val="22"/>
          <w:color w:val="auto"/>
        </w:rPr>
        <w:t>office or by the chief executive officer and shall be held at such place, on such date and at such time as they or he shall fix. Notice of the place, date and time of each such special meeting shall be given to each director by whom it is not waived by mailing written notice not less than three days before the meeting or at least 18 hours before the meeting if by telephone or by being personally delivered or sent by telex, telecopy, electronic transmission, email or similar means. Unless otherwise indicated in the notice thereof, any and all business may be transacted at a special meeting.</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Section 3.5 Quorum</w:t>
      </w:r>
    </w:p>
    <w:p>
      <w:pPr>
        <w:spacing w:after="0" w:line="233" w:lineRule="exact"/>
        <w:rPr>
          <w:sz w:val="20"/>
          <w:szCs w:val="20"/>
          <w:color w:val="auto"/>
        </w:rPr>
      </w:pPr>
    </w:p>
    <w:p>
      <w:pPr>
        <w:ind w:left="200" w:right="419"/>
        <w:spacing w:after="0" w:line="238" w:lineRule="auto"/>
        <w:rPr>
          <w:sz w:val="20"/>
          <w:szCs w:val="20"/>
          <w:color w:val="auto"/>
        </w:rPr>
      </w:pPr>
      <w:r>
        <w:rPr>
          <w:rFonts w:ascii="Arial" w:cs="Arial" w:eastAsia="Arial" w:hAnsi="Arial"/>
          <w:sz w:val="22"/>
          <w:szCs w:val="22"/>
          <w:color w:val="auto"/>
        </w:rPr>
        <w:t>At any meeting of the Board of Directors, a majority of the total number of the whole board shall constitute a quorum for all purposes. If a quorum shall fail to attend any meeting, a majority of those present may adjourn the meeting to another place, date or time, without further notice or waiver thereof.</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Section 3.6 Participation in Meetings by Conference Telephone</w:t>
      </w:r>
    </w:p>
    <w:p>
      <w:pPr>
        <w:spacing w:after="0" w:line="233" w:lineRule="exact"/>
        <w:rPr>
          <w:sz w:val="20"/>
          <w:szCs w:val="20"/>
          <w:color w:val="auto"/>
        </w:rPr>
      </w:pPr>
    </w:p>
    <w:p>
      <w:pPr>
        <w:ind w:left="200" w:right="319"/>
        <w:spacing w:after="0" w:line="238" w:lineRule="auto"/>
        <w:rPr>
          <w:sz w:val="20"/>
          <w:szCs w:val="20"/>
          <w:color w:val="auto"/>
        </w:rPr>
      </w:pPr>
      <w:r>
        <w:rPr>
          <w:rFonts w:ascii="Arial" w:cs="Arial" w:eastAsia="Arial" w:hAnsi="Arial"/>
          <w:sz w:val="22"/>
          <w:szCs w:val="22"/>
          <w:color w:val="auto"/>
        </w:rPr>
        <w:t>Members of the Board of Directors or of any committee thereof, may participate in a meeting of such board or committee by means of conference telephone or similar communications equipment that enables all persons participating in the meeting to hear each other. Such participation shall constitute presence in person at such meeting.</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Section 3.7 Conduct of Business</w:t>
      </w:r>
    </w:p>
    <w:p>
      <w:pPr>
        <w:spacing w:after="0" w:line="233" w:lineRule="exact"/>
        <w:rPr>
          <w:sz w:val="20"/>
          <w:szCs w:val="20"/>
          <w:color w:val="auto"/>
        </w:rPr>
      </w:pPr>
    </w:p>
    <w:p>
      <w:pPr>
        <w:ind w:left="200" w:right="219"/>
        <w:spacing w:after="0" w:line="235" w:lineRule="auto"/>
        <w:rPr>
          <w:sz w:val="20"/>
          <w:szCs w:val="20"/>
          <w:color w:val="auto"/>
        </w:rPr>
      </w:pPr>
      <w:r>
        <w:rPr>
          <w:rFonts w:ascii="Arial" w:cs="Arial" w:eastAsia="Arial" w:hAnsi="Arial"/>
          <w:sz w:val="22"/>
          <w:szCs w:val="22"/>
          <w:color w:val="auto"/>
        </w:rPr>
        <w:t>At any meeting of the Board of Directors, business shall be transacted in such order and manner as the board may from time to time determine, and all matters shall be determined by the vote of a majority of the directors present, except as otherwise provided herein or required by law. Action may be taken by the Board of Directors without a meeting if all members thereof consent thereto in writing, and the writing or writings are filed with the minutes of proceedings of the Board of Directors.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Section 3.8 Powers</w:t>
      </w:r>
    </w:p>
    <w:p>
      <w:pPr>
        <w:spacing w:after="0" w:line="233" w:lineRule="exact"/>
        <w:rPr>
          <w:sz w:val="20"/>
          <w:szCs w:val="20"/>
          <w:color w:val="auto"/>
        </w:rPr>
      </w:pPr>
    </w:p>
    <w:p>
      <w:pPr>
        <w:ind w:left="200" w:right="339"/>
        <w:spacing w:after="0" w:line="257" w:lineRule="auto"/>
        <w:rPr>
          <w:sz w:val="20"/>
          <w:szCs w:val="20"/>
          <w:color w:val="auto"/>
        </w:rPr>
      </w:pPr>
      <w:r>
        <w:rPr>
          <w:rFonts w:ascii="Arial" w:cs="Arial" w:eastAsia="Arial" w:hAnsi="Arial"/>
          <w:sz w:val="21"/>
          <w:szCs w:val="21"/>
          <w:color w:val="auto"/>
        </w:rPr>
        <w:t>The Board of Directors may, except as otherwise required by law, exercise all such powers and do all such acts and things as may be exercised or done by the Corporation, including, without limiting the generality of the foregoing, the unqualified power:</w:t>
      </w:r>
    </w:p>
    <w:p>
      <w:pPr>
        <w:spacing w:after="0" w:line="169" w:lineRule="exact"/>
        <w:rPr>
          <w:sz w:val="20"/>
          <w:szCs w:val="20"/>
          <w:color w:val="auto"/>
        </w:rPr>
      </w:pPr>
    </w:p>
    <w:p>
      <w:pPr>
        <w:ind w:left="580" w:hanging="307"/>
        <w:spacing w:after="0"/>
        <w:tabs>
          <w:tab w:leader="none" w:pos="580" w:val="left"/>
        </w:tabs>
        <w:numPr>
          <w:ilvl w:val="0"/>
          <w:numId w:val="49"/>
        </w:numPr>
        <w:rPr>
          <w:rFonts w:ascii="Arial" w:cs="Arial" w:eastAsia="Arial" w:hAnsi="Arial"/>
          <w:sz w:val="22"/>
          <w:szCs w:val="22"/>
          <w:color w:val="auto"/>
        </w:rPr>
      </w:pPr>
      <w:r>
        <w:rPr>
          <w:rFonts w:ascii="Arial" w:cs="Arial" w:eastAsia="Arial" w:hAnsi="Arial"/>
          <w:sz w:val="22"/>
          <w:szCs w:val="22"/>
          <w:color w:val="auto"/>
        </w:rPr>
        <w:t>To declare dividends from time to time in accordance with law;</w:t>
      </w:r>
    </w:p>
    <w:p>
      <w:pPr>
        <w:spacing w:after="0" w:line="206" w:lineRule="exact"/>
        <w:rPr>
          <w:rFonts w:ascii="Arial" w:cs="Arial" w:eastAsia="Arial" w:hAnsi="Arial"/>
          <w:sz w:val="22"/>
          <w:szCs w:val="22"/>
          <w:color w:val="auto"/>
        </w:rPr>
      </w:pPr>
    </w:p>
    <w:p>
      <w:pPr>
        <w:ind w:left="280" w:right="559" w:hanging="7"/>
        <w:spacing w:after="0" w:line="250" w:lineRule="auto"/>
        <w:tabs>
          <w:tab w:leader="none" w:pos="593" w:val="left"/>
        </w:tabs>
        <w:numPr>
          <w:ilvl w:val="0"/>
          <w:numId w:val="49"/>
        </w:numPr>
        <w:rPr>
          <w:rFonts w:ascii="Arial" w:cs="Arial" w:eastAsia="Arial" w:hAnsi="Arial"/>
          <w:sz w:val="22"/>
          <w:szCs w:val="22"/>
          <w:color w:val="auto"/>
        </w:rPr>
      </w:pPr>
      <w:r>
        <w:rPr>
          <w:rFonts w:ascii="Arial" w:cs="Arial" w:eastAsia="Arial" w:hAnsi="Arial"/>
          <w:sz w:val="22"/>
          <w:szCs w:val="22"/>
          <w:color w:val="auto"/>
        </w:rPr>
        <w:t>To purchase or otherwise acquire any property, rights or privileges on such terms as it shall determine;</w:t>
      </w:r>
    </w:p>
    <w:p>
      <w:pPr>
        <w:spacing w:after="0" w:line="188" w:lineRule="exact"/>
        <w:rPr>
          <w:rFonts w:ascii="Arial" w:cs="Arial" w:eastAsia="Arial" w:hAnsi="Arial"/>
          <w:sz w:val="22"/>
          <w:szCs w:val="22"/>
          <w:color w:val="auto"/>
        </w:rPr>
      </w:pPr>
    </w:p>
    <w:p>
      <w:pPr>
        <w:ind w:left="280" w:right="459" w:hanging="7"/>
        <w:spacing w:after="0"/>
        <w:tabs>
          <w:tab w:leader="none" w:pos="593" w:val="left"/>
        </w:tabs>
        <w:numPr>
          <w:ilvl w:val="0"/>
          <w:numId w:val="49"/>
        </w:numPr>
        <w:rPr>
          <w:rFonts w:ascii="Arial" w:cs="Arial" w:eastAsia="Arial" w:hAnsi="Arial"/>
          <w:sz w:val="22"/>
          <w:szCs w:val="22"/>
          <w:color w:val="auto"/>
        </w:rPr>
      </w:pPr>
      <w:r>
        <w:rPr>
          <w:rFonts w:ascii="Arial" w:cs="Arial" w:eastAsia="Arial" w:hAnsi="Arial"/>
          <w:sz w:val="22"/>
          <w:szCs w:val="22"/>
          <w:color w:val="auto"/>
        </w:rPr>
        <w:t>To authorize the creation, making and issuance, in such form as it may determine, of written obligations of every kind, negotiable or non-negotiable, secured or unsecured, and to do all things necessary in connection therewith;</w:t>
      </w:r>
    </w:p>
    <w:p>
      <w:pPr>
        <w:spacing w:after="0" w:line="186" w:lineRule="exact"/>
        <w:rPr>
          <w:rFonts w:ascii="Arial" w:cs="Arial" w:eastAsia="Arial" w:hAnsi="Arial"/>
          <w:sz w:val="22"/>
          <w:szCs w:val="22"/>
          <w:color w:val="auto"/>
        </w:rPr>
      </w:pPr>
    </w:p>
    <w:p>
      <w:pPr>
        <w:ind w:left="280" w:right="739" w:hanging="7"/>
        <w:spacing w:after="0" w:line="328" w:lineRule="auto"/>
        <w:tabs>
          <w:tab w:leader="none" w:pos="593" w:val="left"/>
        </w:tabs>
        <w:numPr>
          <w:ilvl w:val="0"/>
          <w:numId w:val="49"/>
        </w:numPr>
        <w:rPr>
          <w:rFonts w:ascii="Arial" w:cs="Arial" w:eastAsia="Arial" w:hAnsi="Arial"/>
          <w:sz w:val="19"/>
          <w:szCs w:val="19"/>
          <w:color w:val="auto"/>
        </w:rPr>
      </w:pPr>
      <w:r>
        <w:rPr>
          <w:rFonts w:ascii="Arial" w:cs="Arial" w:eastAsia="Arial" w:hAnsi="Arial"/>
          <w:sz w:val="19"/>
          <w:szCs w:val="19"/>
          <w:color w:val="auto"/>
        </w:rPr>
        <w:t>To remove any officer of the Corporation with or without cause, and from time to time to devolve the powers and duties of any officer upon any other person for the time being;</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447675</wp:posOffset>
            </wp:positionV>
            <wp:extent cx="545211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8" w:right="1440" w:bottom="1440" w:gutter="0" w:footer="0" w:header="0"/>
        </w:sectPr>
      </w:pPr>
    </w:p>
    <w:bookmarkStart w:id="101" w:name="page102"/>
    <w:bookmarkEnd w:id="101"/>
    <w:p>
      <w:pPr>
        <w:ind w:left="280" w:right="759" w:hanging="7"/>
        <w:spacing w:after="0" w:line="250" w:lineRule="auto"/>
        <w:tabs>
          <w:tab w:leader="none" w:pos="593" w:val="left"/>
        </w:tabs>
        <w:numPr>
          <w:ilvl w:val="0"/>
          <w:numId w:val="50"/>
        </w:numPr>
        <w:rPr>
          <w:rFonts w:ascii="Arial" w:cs="Arial" w:eastAsia="Arial" w:hAnsi="Arial"/>
          <w:sz w:val="22"/>
          <w:szCs w:val="22"/>
          <w:color w:val="auto"/>
        </w:rPr>
      </w:pPr>
      <w:r>
        <w:rPr>
          <w:rFonts w:ascii="Arial" w:cs="Arial" w:eastAsia="Arial" w:hAnsi="Arial"/>
          <w:sz w:val="22"/>
          <w:szCs w:val="22"/>
          <w:color w:val="auto"/>
        </w:rPr>
        <w:t>To confer upon any officer of the Corporation the power to appoint, remove and suspend subordinate officers and agents;</w:t>
      </w:r>
    </w:p>
    <w:p>
      <w:pPr>
        <w:spacing w:after="0" w:line="174" w:lineRule="exact"/>
        <w:rPr>
          <w:rFonts w:ascii="Arial" w:cs="Arial" w:eastAsia="Arial" w:hAnsi="Arial"/>
          <w:sz w:val="22"/>
          <w:szCs w:val="22"/>
          <w:color w:val="auto"/>
        </w:rPr>
      </w:pPr>
    </w:p>
    <w:p>
      <w:pPr>
        <w:ind w:left="280" w:right="1799" w:hanging="7"/>
        <w:spacing w:after="0"/>
        <w:tabs>
          <w:tab w:leader="none" w:pos="593" w:val="left"/>
        </w:tabs>
        <w:numPr>
          <w:ilvl w:val="0"/>
          <w:numId w:val="50"/>
        </w:numPr>
        <w:rPr>
          <w:rFonts w:ascii="Arial" w:cs="Arial" w:eastAsia="Arial" w:hAnsi="Arial"/>
          <w:sz w:val="22"/>
          <w:szCs w:val="22"/>
          <w:color w:val="auto"/>
        </w:rPr>
      </w:pPr>
      <w:r>
        <w:rPr>
          <w:rFonts w:ascii="Arial" w:cs="Arial" w:eastAsia="Arial" w:hAnsi="Arial"/>
          <w:sz w:val="22"/>
          <w:szCs w:val="22"/>
          <w:color w:val="auto"/>
        </w:rPr>
        <w:t>To adopt from time to time such stock option, stock purchase, bonus or other compensation plans for directors, officers and agents of the Corporation and its subsidiaries as it may determine;</w:t>
      </w:r>
    </w:p>
    <w:p>
      <w:pPr>
        <w:spacing w:after="0" w:line="186" w:lineRule="exact"/>
        <w:rPr>
          <w:rFonts w:ascii="Arial" w:cs="Arial" w:eastAsia="Arial" w:hAnsi="Arial"/>
          <w:sz w:val="22"/>
          <w:szCs w:val="22"/>
          <w:color w:val="auto"/>
        </w:rPr>
      </w:pPr>
    </w:p>
    <w:p>
      <w:pPr>
        <w:ind w:left="280" w:right="1099" w:hanging="7"/>
        <w:spacing w:after="0"/>
        <w:tabs>
          <w:tab w:leader="none" w:pos="593" w:val="left"/>
        </w:tabs>
        <w:numPr>
          <w:ilvl w:val="0"/>
          <w:numId w:val="50"/>
        </w:numPr>
        <w:rPr>
          <w:rFonts w:ascii="Arial" w:cs="Arial" w:eastAsia="Arial" w:hAnsi="Arial"/>
          <w:sz w:val="22"/>
          <w:szCs w:val="22"/>
          <w:color w:val="auto"/>
        </w:rPr>
      </w:pPr>
      <w:r>
        <w:rPr>
          <w:rFonts w:ascii="Arial" w:cs="Arial" w:eastAsia="Arial" w:hAnsi="Arial"/>
          <w:sz w:val="22"/>
          <w:szCs w:val="22"/>
          <w:color w:val="auto"/>
        </w:rPr>
        <w:t>To adopt from time to time such insurance, retirement and other benefit plans for directors, officers and agents of the Corporation and its subsidiaries as it may determine; and</w:t>
      </w:r>
    </w:p>
    <w:p>
      <w:pPr>
        <w:spacing w:after="0" w:line="186" w:lineRule="exact"/>
        <w:rPr>
          <w:rFonts w:ascii="Arial" w:cs="Arial" w:eastAsia="Arial" w:hAnsi="Arial"/>
          <w:sz w:val="22"/>
          <w:szCs w:val="22"/>
          <w:color w:val="auto"/>
        </w:rPr>
      </w:pPr>
    </w:p>
    <w:p>
      <w:pPr>
        <w:ind w:left="280" w:right="1239" w:hanging="7"/>
        <w:spacing w:after="0" w:line="250" w:lineRule="auto"/>
        <w:tabs>
          <w:tab w:leader="none" w:pos="593" w:val="left"/>
        </w:tabs>
        <w:numPr>
          <w:ilvl w:val="0"/>
          <w:numId w:val="50"/>
        </w:numPr>
        <w:rPr>
          <w:rFonts w:ascii="Arial" w:cs="Arial" w:eastAsia="Arial" w:hAnsi="Arial"/>
          <w:sz w:val="22"/>
          <w:szCs w:val="22"/>
          <w:color w:val="auto"/>
        </w:rPr>
      </w:pPr>
      <w:r>
        <w:rPr>
          <w:rFonts w:ascii="Arial" w:cs="Arial" w:eastAsia="Arial" w:hAnsi="Arial"/>
          <w:sz w:val="22"/>
          <w:szCs w:val="22"/>
          <w:color w:val="auto"/>
        </w:rPr>
        <w:t>To adopt from time to time regulations, not inconsistent with these By-laws, for the management of the Corporation’s business and affairs.</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Section 3.9 Compensation of Directors</w:t>
      </w:r>
    </w:p>
    <w:p>
      <w:pPr>
        <w:spacing w:after="0" w:line="233" w:lineRule="exact"/>
        <w:rPr>
          <w:sz w:val="20"/>
          <w:szCs w:val="20"/>
          <w:color w:val="auto"/>
        </w:rPr>
      </w:pPr>
    </w:p>
    <w:p>
      <w:pPr>
        <w:ind w:left="200" w:right="1159"/>
        <w:spacing w:after="0" w:line="257" w:lineRule="auto"/>
        <w:rPr>
          <w:sz w:val="20"/>
          <w:szCs w:val="20"/>
          <w:color w:val="auto"/>
        </w:rPr>
      </w:pPr>
      <w:r>
        <w:rPr>
          <w:rFonts w:ascii="Arial" w:cs="Arial" w:eastAsia="Arial" w:hAnsi="Arial"/>
          <w:sz w:val="21"/>
          <w:szCs w:val="21"/>
          <w:color w:val="auto"/>
        </w:rPr>
        <w:t>Directors, as such, may receive, pursuant to resolution of the Board of Directors, fixed fees and other compensation for their services as directors, including, without limitation, their services as members of committees of the directors.</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Section 3.10 Interested Directors</w:t>
      </w:r>
    </w:p>
    <w:p>
      <w:pPr>
        <w:spacing w:after="0" w:line="233" w:lineRule="exact"/>
        <w:rPr>
          <w:sz w:val="20"/>
          <w:szCs w:val="20"/>
          <w:color w:val="auto"/>
        </w:rPr>
      </w:pPr>
    </w:p>
    <w:p>
      <w:pPr>
        <w:ind w:left="200" w:right="279"/>
        <w:spacing w:after="0" w:line="279" w:lineRule="auto"/>
        <w:rPr>
          <w:sz w:val="20"/>
          <w:szCs w:val="20"/>
          <w:color w:val="auto"/>
        </w:rPr>
      </w:pPr>
      <w:r>
        <w:rPr>
          <w:rFonts w:ascii="Arial" w:cs="Arial" w:eastAsia="Arial" w:hAnsi="Arial"/>
          <w:sz w:val="19"/>
          <w:szCs w:val="19"/>
          <w:color w:val="auto"/>
        </w:rPr>
        <w:t>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or committee which authorizes the contract or transaction, or solely because his or their votes are counted for such purpose, if;</w:t>
      </w:r>
    </w:p>
    <w:p>
      <w:pPr>
        <w:spacing w:after="0" w:line="150" w:lineRule="exact"/>
        <w:rPr>
          <w:sz w:val="20"/>
          <w:szCs w:val="20"/>
          <w:color w:val="auto"/>
        </w:rPr>
      </w:pPr>
    </w:p>
    <w:p>
      <w:pPr>
        <w:ind w:left="200" w:right="919"/>
        <w:spacing w:after="0" w:line="236" w:lineRule="auto"/>
        <w:rPr>
          <w:sz w:val="20"/>
          <w:szCs w:val="20"/>
          <w:color w:val="auto"/>
        </w:rPr>
      </w:pPr>
      <w:r>
        <w:rPr>
          <w:rFonts w:ascii="Arial" w:cs="Arial" w:eastAsia="Arial" w:hAnsi="Arial"/>
          <w:sz w:val="22"/>
          <w:szCs w:val="22"/>
          <w:color w:val="auto"/>
        </w:rPr>
        <w:t>The material facts as to the relationship or interest and as to the contract or transaction are disclosed or are known to the Board of Directors or the committee, and the board or committee in good faith authorizes the contract or transaction by the affirmative votes of a majority of the disinterested directors, even though the disinterested directors be less than a quorum; or</w:t>
      </w:r>
    </w:p>
    <w:p>
      <w:pPr>
        <w:spacing w:after="0" w:line="214" w:lineRule="exact"/>
        <w:rPr>
          <w:sz w:val="20"/>
          <w:szCs w:val="20"/>
          <w:color w:val="auto"/>
        </w:rPr>
      </w:pPr>
    </w:p>
    <w:p>
      <w:pPr>
        <w:ind w:left="200" w:right="1039"/>
        <w:spacing w:after="0" w:line="297" w:lineRule="auto"/>
        <w:rPr>
          <w:sz w:val="20"/>
          <w:szCs w:val="20"/>
          <w:color w:val="auto"/>
        </w:rPr>
      </w:pPr>
      <w:r>
        <w:rPr>
          <w:rFonts w:ascii="Arial" w:cs="Arial" w:eastAsia="Arial" w:hAnsi="Arial"/>
          <w:sz w:val="19"/>
          <w:szCs w:val="19"/>
          <w:color w:val="auto"/>
        </w:rPr>
        <w:t>The material facts as to his relationship or interest and as to the contract or transaction are disclosed or are known to the shareholders entitled to vote thereon, and the contract or transaction is specifically approved in good faith by vote of the shareholders; or</w:t>
      </w:r>
    </w:p>
    <w:p>
      <w:pPr>
        <w:spacing w:after="0" w:line="161" w:lineRule="exact"/>
        <w:rPr>
          <w:sz w:val="20"/>
          <w:szCs w:val="20"/>
          <w:color w:val="auto"/>
        </w:rPr>
      </w:pPr>
    </w:p>
    <w:p>
      <w:pPr>
        <w:ind w:left="200" w:right="1459"/>
        <w:spacing w:after="0" w:line="328" w:lineRule="auto"/>
        <w:rPr>
          <w:sz w:val="20"/>
          <w:szCs w:val="20"/>
          <w:color w:val="auto"/>
        </w:rPr>
      </w:pPr>
      <w:r>
        <w:rPr>
          <w:rFonts w:ascii="Arial" w:cs="Arial" w:eastAsia="Arial" w:hAnsi="Arial"/>
          <w:sz w:val="19"/>
          <w:szCs w:val="19"/>
          <w:color w:val="auto"/>
        </w:rPr>
        <w:t>The contract or transaction is fair as to the Corporation as of the time it is authorized, approved or ratified, by the Board of Directors, a committee or the shareholders.</w:t>
      </w:r>
    </w:p>
    <w:p>
      <w:pPr>
        <w:spacing w:after="0" w:line="105" w:lineRule="exact"/>
        <w:rPr>
          <w:sz w:val="20"/>
          <w:szCs w:val="20"/>
          <w:color w:val="auto"/>
        </w:rPr>
      </w:pPr>
    </w:p>
    <w:p>
      <w:pPr>
        <w:ind w:left="200" w:right="739"/>
        <w:spacing w:after="0"/>
        <w:rPr>
          <w:sz w:val="20"/>
          <w:szCs w:val="20"/>
          <w:color w:val="auto"/>
        </w:rPr>
      </w:pPr>
      <w:r>
        <w:rPr>
          <w:rFonts w:ascii="Arial" w:cs="Arial" w:eastAsia="Arial" w:hAnsi="Arial"/>
          <w:sz w:val="22"/>
          <w:szCs w:val="22"/>
          <w:color w:val="auto"/>
        </w:rPr>
        <w:t>Common or interested directors may be counted in determining the presence of a quorum at a meeting of the Board of Directors or of a committee which authorizes the contract or transaction.</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Section 3.11 Loans</w:t>
      </w:r>
    </w:p>
    <w:p>
      <w:pPr>
        <w:sectPr>
          <w:pgSz w:w="11900" w:h="16838" w:orient="portrait"/>
          <w:cols w:equalWidth="0" w:num="1">
            <w:col w:w="9019"/>
          </w:cols>
          <w:pgMar w:left="1440" w:top="110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476885</wp:posOffset>
            </wp:positionV>
            <wp:extent cx="545211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04" w:right="1440" w:bottom="1440" w:gutter="0" w:footer="0" w:header="0"/>
          <w:type w:val="continuous"/>
        </w:sectPr>
      </w:pPr>
    </w:p>
    <w:bookmarkStart w:id="102" w:name="page103"/>
    <w:bookmarkEnd w:id="102"/>
    <w:p>
      <w:pPr>
        <w:ind w:left="200" w:right="599"/>
        <w:spacing w:after="0" w:line="236" w:lineRule="auto"/>
        <w:rPr>
          <w:sz w:val="20"/>
          <w:szCs w:val="20"/>
          <w:color w:val="auto"/>
        </w:rPr>
      </w:pPr>
      <w:r>
        <w:rPr>
          <w:rFonts w:ascii="Arial" w:cs="Arial" w:eastAsia="Arial" w:hAnsi="Arial"/>
          <w:sz w:val="22"/>
          <w:szCs w:val="22"/>
          <w:color w:val="auto"/>
        </w:rPr>
        <w:t>The Corporation shall not lend money to or use its credit to assist its officers, directors or other control persons without authorization in the particular case by the shareholders, but may lend money to and use its credit to assist any employee, excluding such officers, directors or other control persons of the Corporation or of a subsidiary, if such loan or assistance benefits the Corporation.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IV</w:t>
      </w:r>
    </w:p>
    <w:p>
      <w:pPr>
        <w:spacing w:after="0" w:line="233"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COMMITTEES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Section 4.1 Committees of the Board of Directors</w:t>
      </w:r>
    </w:p>
    <w:p>
      <w:pPr>
        <w:spacing w:after="0" w:line="233" w:lineRule="exact"/>
        <w:rPr>
          <w:sz w:val="20"/>
          <w:szCs w:val="20"/>
          <w:color w:val="auto"/>
        </w:rPr>
      </w:pPr>
    </w:p>
    <w:p>
      <w:pPr>
        <w:ind w:left="200" w:right="279"/>
        <w:spacing w:after="0" w:line="272" w:lineRule="auto"/>
        <w:rPr>
          <w:sz w:val="20"/>
          <w:szCs w:val="20"/>
          <w:color w:val="auto"/>
        </w:rPr>
      </w:pPr>
      <w:r>
        <w:rPr>
          <w:rFonts w:ascii="Arial" w:cs="Arial" w:eastAsia="Arial" w:hAnsi="Arial"/>
          <w:sz w:val="19"/>
          <w:szCs w:val="19"/>
          <w:color w:val="auto"/>
        </w:rPr>
        <w:t>The Board of Directors, by a vote of a majority of the whole board, may from time to time designate committees of the board, with such lawful powers and duties as it thereby confers, to serve at the pleasure of the board and shall, for those committees and any others provided for herein, elect a director or directors to serve as the member or members, designating, if it desires, other directors as alternative members who may replace any absent or disqualified member at any meeting of the committee. Notwithstanding the foregoing, no committee so designated may exercise the power and authority of the Board of Directors to declare a dividend or to authorize the issuance of stock, though a committee may be charged with the responsibility to make recommendations to the Board of Directors with respect to such matters. In the absence or disqualification of any member of any committee and any alternate member in his place, the member or members of the committee present at the meeting and not disqualified from voting, whether or not he or they constitute a quorum, may by unanimous vote appoint another member of the Board of Directors to act at the meeting in the place of the absent or disqualified member.</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Section 4.2 Conduct of Business</w:t>
      </w:r>
    </w:p>
    <w:p>
      <w:pPr>
        <w:spacing w:after="0" w:line="233" w:lineRule="exact"/>
        <w:rPr>
          <w:sz w:val="20"/>
          <w:szCs w:val="20"/>
          <w:color w:val="auto"/>
        </w:rPr>
      </w:pPr>
    </w:p>
    <w:p>
      <w:pPr>
        <w:ind w:left="200" w:right="459"/>
        <w:spacing w:after="0" w:line="275" w:lineRule="auto"/>
        <w:rPr>
          <w:sz w:val="20"/>
          <w:szCs w:val="20"/>
          <w:color w:val="auto"/>
        </w:rPr>
      </w:pPr>
      <w:r>
        <w:rPr>
          <w:rFonts w:ascii="Arial" w:cs="Arial" w:eastAsia="Arial" w:hAnsi="Arial"/>
          <w:sz w:val="19"/>
          <w:szCs w:val="19"/>
          <w:color w:val="auto"/>
        </w:rPr>
        <w:t>Each committee may determine the procedural rules for meeting and conducting its business and shall act in accordance therewith, except as otherwise provided herein or required by law. Adequate provisions shall be made for notice to members of all meetings; a majority of the members shall constitute a quorum unless the committee shall consist of one or two members, in which event one member shall constitute a quorum; and all matters shall be determined by a majority vote of the members present. Action may be taken by any committee without a meeting if all members thereof consent thereto in writing, and the writing or writings are filed with the minutes of the proceedings of such committee.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OFFICERS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Section 5.1 Generally</w:t>
      </w:r>
    </w:p>
    <w:p>
      <w:pPr>
        <w:spacing w:after="0" w:line="233" w:lineRule="exact"/>
        <w:rPr>
          <w:sz w:val="20"/>
          <w:szCs w:val="20"/>
          <w:color w:val="auto"/>
        </w:rPr>
      </w:pPr>
    </w:p>
    <w:p>
      <w:pPr>
        <w:ind w:left="200" w:right="279"/>
        <w:spacing w:after="0" w:line="287" w:lineRule="auto"/>
        <w:rPr>
          <w:sz w:val="20"/>
          <w:szCs w:val="20"/>
          <w:color w:val="auto"/>
        </w:rPr>
      </w:pPr>
      <w:r>
        <w:rPr>
          <w:rFonts w:ascii="Arial" w:cs="Arial" w:eastAsia="Arial" w:hAnsi="Arial"/>
          <w:sz w:val="19"/>
          <w:szCs w:val="19"/>
          <w:color w:val="auto"/>
        </w:rPr>
        <w:t>The officers of the Corporation shall consist of a president, one or more vice-presidents, a secretary, a treasurer and such other subordinate officers as may from time to time be appointed by the Board of Directors. Officers shall be elected by the Board of Directors, which shall consider that subject at its first meeting after every annual meeting of shareholders. Each officer</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447675</wp:posOffset>
            </wp:positionV>
            <wp:extent cx="545211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88" w:right="1440" w:bottom="1440" w:gutter="0" w:footer="0" w:header="0"/>
        </w:sectPr>
      </w:pPr>
    </w:p>
    <w:bookmarkStart w:id="103" w:name="page104"/>
    <w:bookmarkEnd w:id="103"/>
    <w:p>
      <w:pPr>
        <w:ind w:left="200" w:right="579"/>
        <w:spacing w:after="0" w:line="250" w:lineRule="auto"/>
        <w:rPr>
          <w:sz w:val="20"/>
          <w:szCs w:val="20"/>
          <w:color w:val="auto"/>
        </w:rPr>
      </w:pPr>
      <w:r>
        <w:rPr>
          <w:rFonts w:ascii="Arial" w:cs="Arial" w:eastAsia="Arial" w:hAnsi="Arial"/>
          <w:sz w:val="22"/>
          <w:szCs w:val="22"/>
          <w:color w:val="auto"/>
        </w:rPr>
        <w:t>shall hold his office until his successor is elected and qualified or until his earlier resignation or removal. Any number of offices may be held by the same person.</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Section 5.2 President</w:t>
      </w:r>
    </w:p>
    <w:p>
      <w:pPr>
        <w:spacing w:after="0" w:line="233" w:lineRule="exact"/>
        <w:rPr>
          <w:sz w:val="20"/>
          <w:szCs w:val="20"/>
          <w:color w:val="auto"/>
        </w:rPr>
      </w:pPr>
    </w:p>
    <w:p>
      <w:pPr>
        <w:ind w:left="200" w:right="339"/>
        <w:spacing w:after="0" w:line="275" w:lineRule="auto"/>
        <w:rPr>
          <w:sz w:val="20"/>
          <w:szCs w:val="20"/>
          <w:color w:val="auto"/>
        </w:rPr>
      </w:pPr>
      <w:r>
        <w:rPr>
          <w:rFonts w:ascii="Arial" w:cs="Arial" w:eastAsia="Arial" w:hAnsi="Arial"/>
          <w:sz w:val="19"/>
          <w:szCs w:val="19"/>
          <w:color w:val="auto"/>
        </w:rPr>
        <w:t>The President shall be the chief executive officer of the Corporation, except as set forth in Section 5.6 of this Article. Subject to the provisions of these By-laws and to the direction of the Board of Directors, he shall have the responsibility for the general management and control of the affairs and business of the Corporation and shall perform all duties and have all powers which are commonly incident to the office of chief executive or which are delegated to him by the Board of Directors. He shall have power to sign all stock certificates, contracts and other instruments of the Corporation which are authorized. He shall have general supervision and direction of all of the other officers and agents of the Corporation.</w:t>
      </w:r>
    </w:p>
    <w:p>
      <w:pPr>
        <w:spacing w:after="0" w:line="157"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Section 5.3 Vice-president</w:t>
      </w:r>
    </w:p>
    <w:p>
      <w:pPr>
        <w:spacing w:after="0" w:line="233" w:lineRule="exact"/>
        <w:rPr>
          <w:sz w:val="20"/>
          <w:szCs w:val="20"/>
          <w:color w:val="auto"/>
        </w:rPr>
      </w:pPr>
    </w:p>
    <w:p>
      <w:pPr>
        <w:ind w:left="200" w:right="519"/>
        <w:spacing w:after="0" w:line="305" w:lineRule="auto"/>
        <w:rPr>
          <w:sz w:val="20"/>
          <w:szCs w:val="20"/>
          <w:color w:val="auto"/>
        </w:rPr>
      </w:pPr>
      <w:r>
        <w:rPr>
          <w:rFonts w:ascii="Arial" w:cs="Arial" w:eastAsia="Arial" w:hAnsi="Arial"/>
          <w:sz w:val="19"/>
          <w:szCs w:val="19"/>
          <w:color w:val="auto"/>
        </w:rPr>
        <w:t>Each vice-president shall perform such duties as the Board of Directors shall prescribe. In the absence or disability of the President, the vice-president who has served in such capacity for the longest time shall perform the duties and exercise the powers of the President.</w:t>
      </w:r>
    </w:p>
    <w:p>
      <w:pPr>
        <w:spacing w:after="0" w:line="369"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Section 5.4 Treasurer</w:t>
      </w:r>
    </w:p>
    <w:p>
      <w:pPr>
        <w:spacing w:after="0" w:line="233" w:lineRule="exact"/>
        <w:rPr>
          <w:sz w:val="20"/>
          <w:szCs w:val="20"/>
          <w:color w:val="auto"/>
        </w:rPr>
      </w:pPr>
    </w:p>
    <w:p>
      <w:pPr>
        <w:ind w:left="200" w:right="299"/>
        <w:spacing w:after="0" w:line="238" w:lineRule="auto"/>
        <w:rPr>
          <w:sz w:val="20"/>
          <w:szCs w:val="20"/>
          <w:color w:val="auto"/>
        </w:rPr>
      </w:pPr>
      <w:r>
        <w:rPr>
          <w:rFonts w:ascii="Arial" w:cs="Arial" w:eastAsia="Arial" w:hAnsi="Arial"/>
          <w:sz w:val="22"/>
          <w:szCs w:val="22"/>
          <w:color w:val="auto"/>
        </w:rPr>
        <w:t>The treasurer shall have the custody of the monies and securities of the Corporation and shall keep regular books of account. He shall make such disbursements of the funds of the Corporation as are proper and shall render from time to time an account of all such transactions and of the financial condition of the Corporation.</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Section 5.5 Secretary</w:t>
      </w:r>
    </w:p>
    <w:p>
      <w:pPr>
        <w:spacing w:after="0" w:line="233" w:lineRule="exact"/>
        <w:rPr>
          <w:sz w:val="20"/>
          <w:szCs w:val="20"/>
          <w:color w:val="auto"/>
        </w:rPr>
      </w:pPr>
    </w:p>
    <w:p>
      <w:pPr>
        <w:ind w:left="200" w:right="459"/>
        <w:spacing w:after="0" w:line="328" w:lineRule="auto"/>
        <w:rPr>
          <w:sz w:val="20"/>
          <w:szCs w:val="20"/>
          <w:color w:val="auto"/>
        </w:rPr>
      </w:pPr>
      <w:r>
        <w:rPr>
          <w:rFonts w:ascii="Arial" w:cs="Arial" w:eastAsia="Arial" w:hAnsi="Arial"/>
          <w:sz w:val="19"/>
          <w:szCs w:val="19"/>
          <w:color w:val="auto"/>
        </w:rPr>
        <w:t>The secretary shall issue all authorized notices for, and shall keep minutes of, all meetings of the shareholders and the Board of Directors and shall have charge of the corporate books.</w:t>
      </w:r>
    </w:p>
    <w:p>
      <w:pPr>
        <w:spacing w:after="0" w:line="226"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Section 5.6 General Manager</w:t>
      </w:r>
    </w:p>
    <w:p>
      <w:pPr>
        <w:spacing w:after="0" w:line="233" w:lineRule="exact"/>
        <w:rPr>
          <w:sz w:val="20"/>
          <w:szCs w:val="20"/>
          <w:color w:val="auto"/>
        </w:rPr>
      </w:pPr>
    </w:p>
    <w:p>
      <w:pPr>
        <w:ind w:left="200" w:right="319"/>
        <w:spacing w:after="0" w:line="273" w:lineRule="auto"/>
        <w:rPr>
          <w:sz w:val="20"/>
          <w:szCs w:val="20"/>
          <w:color w:val="auto"/>
        </w:rPr>
      </w:pPr>
      <w:r>
        <w:rPr>
          <w:rFonts w:ascii="Arial" w:cs="Arial" w:eastAsia="Arial" w:hAnsi="Arial"/>
          <w:sz w:val="19"/>
          <w:szCs w:val="19"/>
          <w:color w:val="auto"/>
        </w:rPr>
        <w:t>The Board of Directors may employ and appoint a general manager who may, or may not, be one of the officers or directors of the Corporation. If employed by the Board of Directors he shall be the chief operating officer of the Corporation and, subject to the directions of the Board of Directors, shall have general charge of the business operations of the Corporation and general supervision over its employees and agents. He shall have the exclusive management of the business of the Corporation and of all of its dealings, but at all times subject to the control of the Board of Directors. Subject to the approval of the Board of Directors or a committee, he shall employ all employees of the Corporation, or delegate such employment to subordinate officers, or division officers, or division chiefs, and shall have authority to discharge any person so employed. He shall make a report to the President and directors quarterly, or more often if required to do so, setting forth the results of the operations under his charge, together with</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447675</wp:posOffset>
            </wp:positionV>
            <wp:extent cx="545211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8" w:right="1440" w:bottom="1440" w:gutter="0" w:footer="0" w:header="0"/>
        </w:sectPr>
      </w:pPr>
    </w:p>
    <w:bookmarkStart w:id="104" w:name="page105"/>
    <w:bookmarkEnd w:id="104"/>
    <w:p>
      <w:pPr>
        <w:ind w:left="200" w:right="559"/>
        <w:spacing w:after="0" w:line="274" w:lineRule="auto"/>
        <w:rPr>
          <w:sz w:val="20"/>
          <w:szCs w:val="20"/>
          <w:color w:val="auto"/>
        </w:rPr>
      </w:pPr>
      <w:r>
        <w:rPr>
          <w:rFonts w:ascii="Arial" w:cs="Arial" w:eastAsia="Arial" w:hAnsi="Arial"/>
          <w:sz w:val="21"/>
          <w:szCs w:val="21"/>
          <w:color w:val="auto"/>
        </w:rPr>
        <w:t>suggestions regarding the improvement and betterment of the condition of the Corporation, and shall perform such other duties as the Board of Directors shall require.</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Section 5.7 Delegation of Authority</w:t>
      </w:r>
    </w:p>
    <w:p>
      <w:pPr>
        <w:spacing w:after="0" w:line="233" w:lineRule="exact"/>
        <w:rPr>
          <w:sz w:val="20"/>
          <w:szCs w:val="20"/>
          <w:color w:val="auto"/>
        </w:rPr>
      </w:pPr>
    </w:p>
    <w:p>
      <w:pPr>
        <w:ind w:left="200" w:right="319"/>
        <w:spacing w:after="0" w:line="250" w:lineRule="auto"/>
        <w:rPr>
          <w:sz w:val="20"/>
          <w:szCs w:val="20"/>
          <w:color w:val="auto"/>
        </w:rPr>
      </w:pPr>
      <w:r>
        <w:rPr>
          <w:rFonts w:ascii="Arial" w:cs="Arial" w:eastAsia="Arial" w:hAnsi="Arial"/>
          <w:sz w:val="22"/>
          <w:szCs w:val="22"/>
          <w:color w:val="auto"/>
        </w:rPr>
        <w:t>The Board of Directors may, from time to time, delegate the powers or duties of any officer to any other officers or agents, notwithstanding any provision hereof.</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Section 5.8 Removal</w:t>
      </w:r>
    </w:p>
    <w:p>
      <w:pPr>
        <w:spacing w:after="0" w:line="233" w:lineRule="exact"/>
        <w:rPr>
          <w:sz w:val="20"/>
          <w:szCs w:val="20"/>
          <w:color w:val="auto"/>
        </w:rPr>
      </w:pPr>
    </w:p>
    <w:p>
      <w:pPr>
        <w:ind w:left="200" w:right="219"/>
        <w:spacing w:after="0" w:line="250" w:lineRule="auto"/>
        <w:rPr>
          <w:sz w:val="20"/>
          <w:szCs w:val="20"/>
          <w:color w:val="auto"/>
        </w:rPr>
      </w:pPr>
      <w:r>
        <w:rPr>
          <w:rFonts w:ascii="Arial" w:cs="Arial" w:eastAsia="Arial" w:hAnsi="Arial"/>
          <w:sz w:val="22"/>
          <w:szCs w:val="22"/>
          <w:color w:val="auto"/>
        </w:rPr>
        <w:t>Any officer of the Corporation may be removed at any time, with or without cause, by the Board of Directors.</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Section 5.9 Action with Respect to Securities of Other Corporation</w:t>
      </w:r>
    </w:p>
    <w:p>
      <w:pPr>
        <w:spacing w:after="0" w:line="247" w:lineRule="exact"/>
        <w:rPr>
          <w:sz w:val="20"/>
          <w:szCs w:val="20"/>
          <w:color w:val="auto"/>
        </w:rPr>
      </w:pPr>
    </w:p>
    <w:p>
      <w:pPr>
        <w:ind w:left="200" w:right="259"/>
        <w:spacing w:after="0" w:line="282" w:lineRule="auto"/>
        <w:rPr>
          <w:sz w:val="20"/>
          <w:szCs w:val="20"/>
          <w:color w:val="auto"/>
        </w:rPr>
      </w:pPr>
      <w:r>
        <w:rPr>
          <w:rFonts w:ascii="Arial" w:cs="Arial" w:eastAsia="Arial" w:hAnsi="Arial"/>
          <w:sz w:val="19"/>
          <w:szCs w:val="19"/>
          <w:color w:val="auto"/>
        </w:rPr>
        <w:t>Unless otherwise directed by the Board of Directors, the president shall have power to vote and otherwise act on behalf of the Corporation, in person or by proxy, at any meeting of shareholders of or with respect to any action of shareholders of any other corporation in which this Corporation may hold securities and otherwise to exercise any and all rights and powers which this Corporation may possess by reason of its ownership of securities in such other corporation.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INDEMNIFICATION OF DIRECTORS, OFFICERS AND OTHERS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Section 6.1 Generally</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(A)Indemnity for Claim Not in Name of Corporation.</w:t>
      </w:r>
    </w:p>
    <w:p>
      <w:pPr>
        <w:spacing w:after="0" w:line="233" w:lineRule="exact"/>
        <w:rPr>
          <w:sz w:val="20"/>
          <w:szCs w:val="20"/>
          <w:color w:val="auto"/>
        </w:rPr>
      </w:pPr>
    </w:p>
    <w:p>
      <w:pPr>
        <w:ind w:left="860" w:right="219" w:hanging="3"/>
        <w:spacing w:after="0" w:line="244" w:lineRule="auto"/>
        <w:tabs>
          <w:tab w:leader="none" w:pos="1508" w:val="left"/>
        </w:tabs>
        <w:numPr>
          <w:ilvl w:val="0"/>
          <w:numId w:val="51"/>
        </w:numPr>
        <w:rPr>
          <w:rFonts w:ascii="Arial" w:cs="Arial" w:eastAsia="Arial" w:hAnsi="Arial"/>
          <w:sz w:val="21"/>
          <w:szCs w:val="21"/>
          <w:color w:val="auto"/>
        </w:rPr>
      </w:pPr>
      <w:r>
        <w:rPr>
          <w:rFonts w:ascii="Arial" w:cs="Arial" w:eastAsia="Arial" w:hAnsi="Arial"/>
          <w:sz w:val="21"/>
          <w:szCs w:val="21"/>
          <w:color w:val="auto"/>
        </w:rPr>
        <w:t>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w:t>
      </w:r>
    </w:p>
    <w:p>
      <w:pPr>
        <w:spacing w:after="0" w:line="185" w:lineRule="exact"/>
        <w:rPr>
          <w:rFonts w:ascii="Arial" w:cs="Arial" w:eastAsia="Arial" w:hAnsi="Arial"/>
          <w:sz w:val="21"/>
          <w:szCs w:val="21"/>
          <w:color w:val="auto"/>
        </w:rPr>
      </w:pPr>
    </w:p>
    <w:p>
      <w:pPr>
        <w:ind w:left="860" w:right="279" w:hanging="3"/>
        <w:spacing w:after="0" w:line="287" w:lineRule="auto"/>
        <w:tabs>
          <w:tab w:leader="none" w:pos="1508"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termination of any action, suit or proceeding by judgment, order, settlement, conviction, or upon a plea of nolo contendere or items equivalent, shall not, of itself, create a presumption that the person did not act in good faith and in a manner which he reasonably believed to be in or not opposed to the best interests of the Corporation, and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447675</wp:posOffset>
            </wp:positionV>
            <wp:extent cx="545211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8" w:right="1440" w:bottom="1440" w:gutter="0" w:footer="0" w:header="0"/>
        </w:sectPr>
      </w:pPr>
    </w:p>
    <w:bookmarkStart w:id="105" w:name="page106"/>
    <w:bookmarkEnd w:id="105"/>
    <w:p>
      <w:pPr>
        <w:ind w:left="860" w:right="399"/>
        <w:spacing w:after="0" w:line="250" w:lineRule="auto"/>
        <w:rPr>
          <w:sz w:val="20"/>
          <w:szCs w:val="20"/>
          <w:color w:val="auto"/>
        </w:rPr>
      </w:pPr>
      <w:r>
        <w:rPr>
          <w:rFonts w:ascii="Arial" w:cs="Arial" w:eastAsia="Arial" w:hAnsi="Arial"/>
          <w:sz w:val="22"/>
          <w:szCs w:val="22"/>
          <w:color w:val="auto"/>
        </w:rPr>
        <w:t>with respect to any criminal action or proceeding, had reasonable cause to believe that his conduct was lawful.</w:t>
      </w:r>
    </w:p>
    <w:p>
      <w:pPr>
        <w:spacing w:after="0" w:line="175" w:lineRule="exact"/>
        <w:rPr>
          <w:sz w:val="20"/>
          <w:szCs w:val="20"/>
          <w:color w:val="auto"/>
        </w:rPr>
      </w:pPr>
    </w:p>
    <w:p>
      <w:pPr>
        <w:ind w:left="860" w:hanging="327"/>
        <w:spacing w:after="0"/>
        <w:tabs>
          <w:tab w:leader="none" w:pos="8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Indemnity for Claims in Name of Corporation</w:t>
      </w:r>
    </w:p>
    <w:p>
      <w:pPr>
        <w:spacing w:after="0" w:line="206" w:lineRule="exact"/>
        <w:rPr>
          <w:rFonts w:ascii="Arial" w:cs="Arial" w:eastAsia="Arial" w:hAnsi="Arial"/>
          <w:sz w:val="22"/>
          <w:szCs w:val="22"/>
          <w:color w:val="auto"/>
        </w:rPr>
      </w:pPr>
    </w:p>
    <w:p>
      <w:pPr>
        <w:ind w:left="860" w:right="219" w:hanging="3"/>
        <w:spacing w:after="0" w:line="272" w:lineRule="auto"/>
        <w:tabs>
          <w:tab w:leader="none" w:pos="1166" w:val="left"/>
        </w:tabs>
        <w:numPr>
          <w:ilvl w:val="1"/>
          <w:numId w:val="52"/>
        </w:numPr>
        <w:rPr>
          <w:rFonts w:ascii="Arial" w:cs="Arial" w:eastAsia="Arial" w:hAnsi="Arial"/>
          <w:sz w:val="19"/>
          <w:szCs w:val="19"/>
          <w:color w:val="auto"/>
        </w:rPr>
      </w:pPr>
      <w:r>
        <w:rPr>
          <w:rFonts w:ascii="Arial" w:cs="Arial" w:eastAsia="Arial" w:hAnsi="Arial"/>
          <w:sz w:val="19"/>
          <w:szCs w:val="19"/>
          <w:color w:val="auto"/>
        </w:rPr>
        <w:t>The Corporation shall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The Corporation may not indemnify any such person if it is proven that such person’s act, or failure to act, constituted a breach of such person’s fiduciary duties as a director or office, and such breach of those duties involved intentional misconduct, fraud or a knowing violation of law, making such person liable pursuant to Section 78.138 of the Nevada Revised Statutes.</w:t>
      </w:r>
    </w:p>
    <w:p>
      <w:pPr>
        <w:spacing w:after="0" w:line="155" w:lineRule="exact"/>
        <w:rPr>
          <w:rFonts w:ascii="Arial" w:cs="Arial" w:eastAsia="Arial" w:hAnsi="Arial"/>
          <w:sz w:val="19"/>
          <w:szCs w:val="19"/>
          <w:color w:val="auto"/>
        </w:rPr>
      </w:pPr>
    </w:p>
    <w:p>
      <w:pPr>
        <w:ind w:left="860" w:right="239" w:hanging="3"/>
        <w:spacing w:after="0" w:line="279" w:lineRule="auto"/>
        <w:tabs>
          <w:tab w:leader="none" w:pos="1166" w:val="left"/>
        </w:tabs>
        <w:numPr>
          <w:ilvl w:val="1"/>
          <w:numId w:val="52"/>
        </w:numPr>
        <w:rPr>
          <w:rFonts w:ascii="Arial" w:cs="Arial" w:eastAsia="Arial" w:hAnsi="Arial"/>
          <w:sz w:val="19"/>
          <w:szCs w:val="19"/>
          <w:color w:val="auto"/>
        </w:rPr>
      </w:pPr>
      <w:r>
        <w:rPr>
          <w:rFonts w:ascii="Arial" w:cs="Arial" w:eastAsia="Arial" w:hAnsi="Arial"/>
          <w:sz w:val="19"/>
          <w:szCs w:val="19"/>
          <w:color w:val="auto"/>
        </w:rPr>
        <w:t>Indemnification may not be made in respect of any claim, issue or matter as to which such person shall have been adjudged to be liable for negligence or misconduct in the performance of his duty to the Corporation unless and only to the extent that the court in which such action or suit was brought shall determine upon application that, despite the adjudication of liability but in view of all circumstances of the case, such person is fairly and reasonably entitled to indemnity for such expenses which such court shall deem proper.</w:t>
      </w:r>
    </w:p>
    <w:p>
      <w:pPr>
        <w:spacing w:after="0" w:line="393"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Section 6.2 Expenses</w:t>
      </w:r>
    </w:p>
    <w:p>
      <w:pPr>
        <w:spacing w:after="0" w:line="247" w:lineRule="exact"/>
        <w:rPr>
          <w:sz w:val="20"/>
          <w:szCs w:val="20"/>
          <w:color w:val="auto"/>
        </w:rPr>
      </w:pPr>
    </w:p>
    <w:p>
      <w:pPr>
        <w:ind w:left="200" w:right="239"/>
        <w:spacing w:after="0" w:line="249" w:lineRule="auto"/>
        <w:rPr>
          <w:sz w:val="20"/>
          <w:szCs w:val="20"/>
          <w:color w:val="auto"/>
        </w:rPr>
      </w:pPr>
      <w:r>
        <w:rPr>
          <w:rFonts w:ascii="Arial" w:cs="Arial" w:eastAsia="Arial" w:hAnsi="Arial"/>
          <w:sz w:val="21"/>
          <w:szCs w:val="21"/>
          <w:color w:val="auto"/>
        </w:rPr>
        <w:t>To the extent that a director, officer, employee or agent of the Corporation has been successful on the merits or otherwise in defense of any action, suit or proceeding referred to in Section 6.1 of this Article, or in defense of any claim, issue or matter therein, he shall be indemnified against expenses (including attorney’s fees) actually and reasonably incurred by him in connection therewith. Expenses incurred in defending a civil or criminal action, suit or proceeding may be paid by the Corporation in advance of the final disposition of such action, suit or proceeding as authorized in the manner provided in Section 6.3 of this Article upon receipt of an undertaking by or on behalf of the director, officer, employee or agent to repay such amount unless it shall ultimately be determined that he is entitled to be indemnified by the Corporation as authorized in this Article.</w:t>
      </w:r>
    </w:p>
    <w:p>
      <w:pPr>
        <w:spacing w:after="0" w:line="222"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Section 6.3 Determination by Board of Directors</w:t>
      </w:r>
    </w:p>
    <w:p>
      <w:pPr>
        <w:spacing w:after="0" w:line="247" w:lineRule="exact"/>
        <w:rPr>
          <w:sz w:val="20"/>
          <w:szCs w:val="20"/>
          <w:color w:val="auto"/>
        </w:rPr>
      </w:pPr>
    </w:p>
    <w:p>
      <w:pPr>
        <w:ind w:left="200" w:right="319"/>
        <w:spacing w:after="0" w:line="297" w:lineRule="auto"/>
        <w:rPr>
          <w:sz w:val="20"/>
          <w:szCs w:val="20"/>
          <w:color w:val="auto"/>
        </w:rPr>
      </w:pPr>
      <w:r>
        <w:rPr>
          <w:rFonts w:ascii="Arial" w:cs="Arial" w:eastAsia="Arial" w:hAnsi="Arial"/>
          <w:sz w:val="19"/>
          <w:szCs w:val="19"/>
          <w:color w:val="auto"/>
        </w:rPr>
        <w:t>Any indemnification under Section 6.1 of this Article (unless ordered by a court) shall be made by the Corporation only as authorized in the specific case upon a determination that indemnification of the director, officer, employee or agent is proper in the circumstances because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447675</wp:posOffset>
            </wp:positionV>
            <wp:extent cx="545211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88" w:right="1440" w:bottom="1440" w:gutter="0" w:footer="0" w:header="0"/>
        </w:sectPr>
      </w:pPr>
    </w:p>
    <w:bookmarkStart w:id="106" w:name="page107"/>
    <w:bookmarkEnd w:id="106"/>
    <w:p>
      <w:pPr>
        <w:ind w:left="200" w:right="819"/>
        <w:spacing w:after="0" w:line="247" w:lineRule="auto"/>
        <w:rPr>
          <w:sz w:val="20"/>
          <w:szCs w:val="20"/>
          <w:color w:val="auto"/>
        </w:rPr>
      </w:pPr>
      <w:r>
        <w:rPr>
          <w:rFonts w:ascii="Arial" w:cs="Arial" w:eastAsia="Arial" w:hAnsi="Arial"/>
          <w:sz w:val="22"/>
          <w:szCs w:val="22"/>
          <w:color w:val="auto"/>
        </w:rPr>
        <w:t>he has met the applicable standard of conduct set forth in Section 6.1 of this Article. Such determination shall be made by the Board of Directors by a majority vote of a quorum of the directors, or by the shareholders.</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Section 6.4 Non-exclusive Right</w:t>
      </w:r>
    </w:p>
    <w:p>
      <w:pPr>
        <w:spacing w:after="0" w:line="233" w:lineRule="exact"/>
        <w:rPr>
          <w:sz w:val="20"/>
          <w:szCs w:val="20"/>
          <w:color w:val="auto"/>
        </w:rPr>
      </w:pPr>
    </w:p>
    <w:p>
      <w:pPr>
        <w:ind w:left="200" w:right="239"/>
        <w:spacing w:after="0" w:line="235" w:lineRule="auto"/>
        <w:rPr>
          <w:sz w:val="20"/>
          <w:szCs w:val="20"/>
          <w:color w:val="auto"/>
        </w:rPr>
      </w:pPr>
      <w:r>
        <w:rPr>
          <w:rFonts w:ascii="Arial" w:cs="Arial" w:eastAsia="Arial" w:hAnsi="Arial"/>
          <w:sz w:val="22"/>
          <w:szCs w:val="22"/>
          <w:color w:val="auto"/>
        </w:rPr>
        <w:t>The indemnification provided by this Article shall not be deemed exclusive of any other rights to which those indemnified may be entitled under any by-law, agreement, vote of shareholders or interested directors or otherwise, both as to action in his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Section 6.5 Insurance</w:t>
      </w:r>
    </w:p>
    <w:p>
      <w:pPr>
        <w:spacing w:after="0" w:line="233" w:lineRule="exact"/>
        <w:rPr>
          <w:sz w:val="20"/>
          <w:szCs w:val="20"/>
          <w:color w:val="auto"/>
        </w:rPr>
      </w:pPr>
    </w:p>
    <w:p>
      <w:pPr>
        <w:ind w:left="200" w:right="339"/>
        <w:spacing w:after="0" w:line="234" w:lineRule="auto"/>
        <w:rPr>
          <w:sz w:val="20"/>
          <w:szCs w:val="20"/>
          <w:color w:val="auto"/>
        </w:rPr>
      </w:pPr>
      <w:r>
        <w:rPr>
          <w:rFonts w:ascii="Arial" w:cs="Arial" w:eastAsia="Arial" w:hAnsi="Arial"/>
          <w:sz w:val="22"/>
          <w:szCs w:val="22"/>
          <w:color w:val="auto"/>
        </w:rPr>
        <w:t>The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this Article.</w:t>
      </w:r>
    </w:p>
    <w:p>
      <w:pPr>
        <w:spacing w:after="0" w:line="218" w:lineRule="exact"/>
        <w:rPr>
          <w:sz w:val="20"/>
          <w:szCs w:val="20"/>
          <w:color w:val="auto"/>
        </w:rPr>
      </w:pPr>
    </w:p>
    <w:p>
      <w:pPr>
        <w:ind w:left="200" w:right="299"/>
        <w:spacing w:after="0" w:line="279" w:lineRule="auto"/>
        <w:rPr>
          <w:sz w:val="20"/>
          <w:szCs w:val="20"/>
          <w:color w:val="auto"/>
        </w:rPr>
      </w:pPr>
      <w:r>
        <w:rPr>
          <w:rFonts w:ascii="Arial" w:cs="Arial" w:eastAsia="Arial" w:hAnsi="Arial"/>
          <w:sz w:val="19"/>
          <w:szCs w:val="19"/>
          <w:color w:val="auto"/>
        </w:rPr>
        <w:t>The Corporation’s indemnity of any person who is or was a director, officer, employee or agent of the Corporation, or is or was serving at the request of the Corporation as a director, officer, employee or agent of another corporation, partnership, joint venture, trust or other enterprise, shall be reduced by any amounts such person may collect as indemnification (i) under any policy of insurance purchased and maintained on his behalf by the Corporation or (ii) from such other corporation, partnership, joint venture, trust or other enterprise.</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Section 6.6 Violation of Law</w:t>
      </w:r>
    </w:p>
    <w:p>
      <w:pPr>
        <w:spacing w:after="0" w:line="206" w:lineRule="exact"/>
        <w:rPr>
          <w:sz w:val="20"/>
          <w:szCs w:val="20"/>
          <w:color w:val="auto"/>
        </w:rPr>
      </w:pPr>
    </w:p>
    <w:p>
      <w:pPr>
        <w:ind w:left="200" w:right="539"/>
        <w:spacing w:after="0" w:line="252" w:lineRule="auto"/>
        <w:rPr>
          <w:sz w:val="20"/>
          <w:szCs w:val="20"/>
          <w:color w:val="auto"/>
        </w:rPr>
      </w:pPr>
      <w:r>
        <w:rPr>
          <w:rFonts w:ascii="Arial" w:cs="Arial" w:eastAsia="Arial" w:hAnsi="Arial"/>
          <w:sz w:val="21"/>
          <w:szCs w:val="21"/>
          <w:color w:val="auto"/>
        </w:rPr>
        <w:t>Nothing contained in this Article, or elsewhere in these By-laws, shall operate to indemnify any director or officer if such indemnification is for any reason contrary to law, either as a matter of public policy, or under the provisions of the Federal Securities Act of 1933, the Securities Exchange Act of 1934, or any other applicable state or federal law.</w:t>
      </w:r>
    </w:p>
    <w:p>
      <w:pPr>
        <w:spacing w:after="0" w:line="201"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Section 6.7 Coverage</w:t>
      </w:r>
    </w:p>
    <w:p>
      <w:pPr>
        <w:spacing w:after="0" w:line="233" w:lineRule="exact"/>
        <w:rPr>
          <w:sz w:val="20"/>
          <w:szCs w:val="20"/>
          <w:color w:val="auto"/>
        </w:rPr>
      </w:pPr>
    </w:p>
    <w:p>
      <w:pPr>
        <w:ind w:left="200" w:right="239"/>
        <w:spacing w:after="0" w:line="234" w:lineRule="auto"/>
        <w:rPr>
          <w:sz w:val="20"/>
          <w:szCs w:val="20"/>
          <w:color w:val="auto"/>
        </w:rPr>
      </w:pPr>
      <w:r>
        <w:rPr>
          <w:rFonts w:ascii="Arial" w:cs="Arial" w:eastAsia="Arial" w:hAnsi="Arial"/>
          <w:sz w:val="22"/>
          <w:szCs w:val="22"/>
          <w:color w:val="auto"/>
        </w:rPr>
        <w:t>For the purposes of this Article, references to “the Corporation” include all constituent corporations absorbed in a consolidation or merger as well as the resulting or surviving corporation so that any person who is or was a director, officer, employee or agent of such a constituent corporation or is or was serving at the request of such a constituent corporation as a director, officer, employee or agent of another corporation, partnership, joint venture, trust or other enterprise shall stand in the same position under the provisions of this Article with respect to the resulting or surviving corporation as he would if he had served the resulting or surviving corporation in the same capacity.</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447675</wp:posOffset>
            </wp:positionV>
            <wp:extent cx="545211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47" w:right="1440" w:bottom="1440" w:gutter="0" w:footer="0" w:header="0"/>
        </w:sectPr>
      </w:pPr>
    </w:p>
    <w:bookmarkStart w:id="107" w:name="page108"/>
    <w:bookmarkEnd w:id="107"/>
    <w:p>
      <w:pPr>
        <w:ind w:left="200"/>
        <w:spacing w:after="0"/>
        <w:rPr>
          <w:sz w:val="20"/>
          <w:szCs w:val="20"/>
          <w:color w:val="auto"/>
        </w:rPr>
      </w:pPr>
      <w:r>
        <w:rPr>
          <w:rFonts w:ascii="Arial" w:cs="Arial" w:eastAsia="Arial" w:hAnsi="Arial"/>
          <w:sz w:val="22"/>
          <w:szCs w:val="22"/>
          <w:color w:val="auto"/>
        </w:rPr>
        <w:t>Section 6.8 Effect of Amendment</w:t>
      </w:r>
    </w:p>
    <w:p>
      <w:pPr>
        <w:spacing w:after="0" w:line="206" w:lineRule="exact"/>
        <w:rPr>
          <w:sz w:val="20"/>
          <w:szCs w:val="20"/>
          <w:color w:val="auto"/>
        </w:rPr>
      </w:pPr>
    </w:p>
    <w:p>
      <w:pPr>
        <w:ind w:left="200" w:right="239"/>
        <w:spacing w:after="0" w:line="245" w:lineRule="auto"/>
        <w:rPr>
          <w:sz w:val="20"/>
          <w:szCs w:val="20"/>
          <w:color w:val="auto"/>
        </w:rPr>
      </w:pPr>
      <w:r>
        <w:rPr>
          <w:rFonts w:ascii="Arial" w:cs="Arial" w:eastAsia="Arial" w:hAnsi="Arial"/>
          <w:sz w:val="21"/>
          <w:szCs w:val="21"/>
          <w:color w:val="auto"/>
        </w:rPr>
        <w:t>No amendment, modification or repeal of this Article or any provision hereof shall in any manner terminate, reduce or impair the right of any person who is or was a director, officer, employee or agent of the Corporation, or is or was serving at the request of the Corporation as a director, officer, employee or agent of another corporation, partnership, joint venture, trust or other enterprise to be indemnified by the Corporation, nor the obligation of the Corporation to indemnify any such person under and in accordance with the provisions of this Article 6 as in effect immediately prior to such amendment, modification or repeal with respect to claims arising, in whole or in part, from a state of facts existing on the date of, or relating to matters occurring prior to, such amendment, modification or repeal, regardless of when such claims may arise or be asserted.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VII</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STOCK</w:t>
      </w:r>
    </w:p>
    <w:p>
      <w:pPr>
        <w:spacing w:after="0" w:line="212" w:lineRule="exact"/>
        <w:rPr>
          <w:sz w:val="20"/>
          <w:szCs w:val="20"/>
          <w:color w:val="auto"/>
        </w:rPr>
      </w:pPr>
    </w:p>
    <w:p>
      <w:pPr>
        <w:ind w:left="200" w:right="319"/>
        <w:spacing w:after="0" w:line="287" w:lineRule="auto"/>
        <w:rPr>
          <w:sz w:val="20"/>
          <w:szCs w:val="20"/>
          <w:color w:val="auto"/>
        </w:rPr>
      </w:pPr>
      <w:r>
        <w:rPr>
          <w:rFonts w:ascii="Arial" w:cs="Arial" w:eastAsia="Arial" w:hAnsi="Arial"/>
          <w:sz w:val="19"/>
          <w:szCs w:val="19"/>
          <w:color w:val="auto"/>
        </w:rPr>
        <w:t>Section 7.1 Certificates of Stock Each shareholder shall be entitled to a certificate signed by, or in the name of the Corporation by, the President or a vice-president, and by the secretary or an assistant secretary, or the treasurer or an assistant treasurer, certifying the number of shares owned by him. Any of or all the signatures on the certificate may be facsimile.</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Section 7.2 Transfers of Stock</w:t>
      </w:r>
    </w:p>
    <w:p>
      <w:pPr>
        <w:spacing w:after="0" w:line="233" w:lineRule="exact"/>
        <w:rPr>
          <w:sz w:val="20"/>
          <w:szCs w:val="20"/>
          <w:color w:val="auto"/>
        </w:rPr>
      </w:pPr>
    </w:p>
    <w:p>
      <w:pPr>
        <w:ind w:left="200" w:right="339"/>
        <w:spacing w:after="0" w:line="236" w:lineRule="auto"/>
        <w:rPr>
          <w:sz w:val="20"/>
          <w:szCs w:val="20"/>
          <w:color w:val="auto"/>
        </w:rPr>
      </w:pPr>
      <w:r>
        <w:rPr>
          <w:rFonts w:ascii="Arial" w:cs="Arial" w:eastAsia="Arial" w:hAnsi="Arial"/>
          <w:sz w:val="22"/>
          <w:szCs w:val="22"/>
          <w:color w:val="auto"/>
        </w:rPr>
        <w:t>Transfers of stock shall be made only upon the transfer books of the Corporation kept at an office of the Corporation or by transfer agents designated to transfer shares of the stock of the Corporation. Except where a certificate is issued in accordance with Section 7.4 of this Article, an outstanding certificate for the number of shares involved shall be surrendered for cancellation before a new certificate is issued therefor.</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Section 7.3 Record Date</w:t>
      </w:r>
    </w:p>
    <w:p>
      <w:pPr>
        <w:spacing w:after="0" w:line="233" w:lineRule="exact"/>
        <w:rPr>
          <w:sz w:val="20"/>
          <w:szCs w:val="20"/>
          <w:color w:val="auto"/>
        </w:rPr>
      </w:pPr>
    </w:p>
    <w:p>
      <w:pPr>
        <w:ind w:left="200" w:right="339"/>
        <w:spacing w:after="0" w:line="277" w:lineRule="auto"/>
        <w:rPr>
          <w:sz w:val="20"/>
          <w:szCs w:val="20"/>
          <w:color w:val="auto"/>
        </w:rPr>
      </w:pPr>
      <w:r>
        <w:rPr>
          <w:rFonts w:ascii="Arial" w:cs="Arial" w:eastAsia="Arial" w:hAnsi="Arial"/>
          <w:sz w:val="19"/>
          <w:szCs w:val="19"/>
          <w:color w:val="auto"/>
        </w:rPr>
        <w:t>The Board of Directors may fix a record date, which shall not be more than sixty nor less than ten days before the date of any meeting of shareholders, nor more than sixty days prior to the time for the other action hereinafter described, as of which there shall be determined the shareholders who are entitled: to notice of or to vote at any meeting of shareholders or any adjournment thereof; to express consent to corporate action in writing without a meeting; to receive payment of any dividend or other distribution or allotment of any rights; or to exercise any rights with respect of any change, conversion or exchange of stock or with respect to any other lawful action.</w:t>
      </w:r>
    </w:p>
    <w:p>
      <w:pPr>
        <w:spacing w:after="0" w:line="152" w:lineRule="exact"/>
        <w:rPr>
          <w:sz w:val="20"/>
          <w:szCs w:val="20"/>
          <w:color w:val="auto"/>
        </w:rPr>
      </w:pPr>
    </w:p>
    <w:p>
      <w:pPr>
        <w:ind w:left="200" w:right="459"/>
        <w:spacing w:after="0" w:line="252" w:lineRule="auto"/>
        <w:rPr>
          <w:sz w:val="20"/>
          <w:szCs w:val="20"/>
          <w:color w:val="auto"/>
        </w:rPr>
      </w:pPr>
      <w:r>
        <w:rPr>
          <w:rFonts w:ascii="Arial" w:cs="Arial" w:eastAsia="Arial" w:hAnsi="Arial"/>
          <w:sz w:val="21"/>
          <w:szCs w:val="21"/>
          <w:color w:val="auto"/>
        </w:rPr>
        <w:t>Section 7.4 Lost, Stolen or Destroyed Certificates In the event of the loss, theft or destruction of any certificate of stock, another may be issued in its place pursuant to such regulations as the Board of Directors may establish concerning proof of such loss, theft or destruction and concerning the giving of a satisfactory bond or bonds of indemnity.</w:t>
      </w:r>
    </w:p>
    <w:p>
      <w:pPr>
        <w:spacing w:after="0" w:line="201"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Section 7.5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447675</wp:posOffset>
            </wp:positionV>
            <wp:extent cx="545211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8" w:right="1440" w:bottom="1440" w:gutter="0" w:footer="0" w:header="0"/>
        </w:sectPr>
      </w:pPr>
    </w:p>
    <w:bookmarkStart w:id="108" w:name="page109"/>
    <w:bookmarkEnd w:id="108"/>
    <w:p>
      <w:pPr>
        <w:ind w:left="200" w:right="499"/>
        <w:spacing w:after="0" w:line="250" w:lineRule="auto"/>
        <w:rPr>
          <w:sz w:val="20"/>
          <w:szCs w:val="20"/>
          <w:color w:val="auto"/>
        </w:rPr>
      </w:pPr>
      <w:r>
        <w:rPr>
          <w:rFonts w:ascii="Arial" w:cs="Arial" w:eastAsia="Arial" w:hAnsi="Arial"/>
          <w:sz w:val="22"/>
          <w:szCs w:val="22"/>
          <w:color w:val="auto"/>
        </w:rPr>
        <w:t>The issue, transfer, conversion and registration of certificates of stock shall be governed by such other regulations as the Board of Directors may establish.</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Section 8.1 Notices</w:t>
      </w:r>
    </w:p>
    <w:p>
      <w:pPr>
        <w:spacing w:after="0" w:line="233" w:lineRule="exact"/>
        <w:rPr>
          <w:sz w:val="20"/>
          <w:szCs w:val="20"/>
          <w:color w:val="auto"/>
        </w:rPr>
      </w:pPr>
    </w:p>
    <w:p>
      <w:pPr>
        <w:ind w:left="200" w:right="379"/>
        <w:spacing w:after="0" w:line="279" w:lineRule="auto"/>
        <w:rPr>
          <w:sz w:val="20"/>
          <w:szCs w:val="20"/>
          <w:color w:val="auto"/>
        </w:rPr>
      </w:pPr>
      <w:r>
        <w:rPr>
          <w:rFonts w:ascii="Arial" w:cs="Arial" w:eastAsia="Arial" w:hAnsi="Arial"/>
          <w:sz w:val="19"/>
          <w:szCs w:val="19"/>
          <w:color w:val="auto"/>
        </w:rPr>
        <w:t>Whenever notice is required to be given to any shareholder, director, officer, or agent, such requirement shall not be construed to mean personal notice. Such notice may in every instance be effectively given by depositing a writing in a post office or letter box, in a postpaid, sealed wrapper, or by dispatching a prepaid telegram, addressed to such shareholder, director, officer, or agent at his or her address as the same appears on the books of the Corporation. The time when such notice is dispatched shall be the time of the giving of the notice.</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Section 8.2 Waivers</w:t>
      </w:r>
    </w:p>
    <w:p>
      <w:pPr>
        <w:spacing w:after="0" w:line="233" w:lineRule="exact"/>
        <w:rPr>
          <w:sz w:val="20"/>
          <w:szCs w:val="20"/>
          <w:color w:val="auto"/>
        </w:rPr>
      </w:pPr>
    </w:p>
    <w:p>
      <w:pPr>
        <w:ind w:left="200" w:right="399"/>
        <w:spacing w:after="0" w:line="252" w:lineRule="auto"/>
        <w:rPr>
          <w:sz w:val="20"/>
          <w:szCs w:val="20"/>
          <w:color w:val="auto"/>
        </w:rPr>
      </w:pPr>
      <w:r>
        <w:rPr>
          <w:rFonts w:ascii="Arial" w:cs="Arial" w:eastAsia="Arial" w:hAnsi="Arial"/>
          <w:sz w:val="21"/>
          <w:szCs w:val="21"/>
          <w:color w:val="auto"/>
        </w:rPr>
        <w:t>A written waiver of any notice, signed by a shareholder, director, officer or agent, whether before or after the time of the event for which notice is given, shall be deemed equivalent to the notice required to be given to such shareholder, director, officer or agent. Neither the business nor the purpose of any meeting need be specified in such a waiver.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Section 9.1 Facsimile Signatures</w:t>
      </w:r>
    </w:p>
    <w:p>
      <w:pPr>
        <w:spacing w:after="0" w:line="233" w:lineRule="exact"/>
        <w:rPr>
          <w:sz w:val="20"/>
          <w:szCs w:val="20"/>
          <w:color w:val="auto"/>
        </w:rPr>
      </w:pPr>
    </w:p>
    <w:p>
      <w:pPr>
        <w:ind w:left="200" w:right="239"/>
        <w:spacing w:after="0" w:line="257" w:lineRule="auto"/>
        <w:rPr>
          <w:sz w:val="20"/>
          <w:szCs w:val="20"/>
          <w:color w:val="auto"/>
        </w:rPr>
      </w:pPr>
      <w:r>
        <w:rPr>
          <w:rFonts w:ascii="Arial" w:cs="Arial" w:eastAsia="Arial" w:hAnsi="Arial"/>
          <w:sz w:val="21"/>
          <w:szCs w:val="21"/>
          <w:color w:val="auto"/>
        </w:rPr>
        <w:t>In addition to the provisions for the use of facsimile signatures elsewhere specifically authorized in these Bylaws,­ facsimile signatures of any officer or officers of the Corporation may be used whenever and as authorized by the Board of Directors or a committee thereof.</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Section 9.2 Corporate Seal</w:t>
      </w:r>
    </w:p>
    <w:p>
      <w:pPr>
        <w:spacing w:after="0" w:line="233" w:lineRule="exact"/>
        <w:rPr>
          <w:sz w:val="20"/>
          <w:szCs w:val="20"/>
          <w:color w:val="auto"/>
        </w:rPr>
      </w:pPr>
    </w:p>
    <w:p>
      <w:pPr>
        <w:ind w:left="200" w:right="259"/>
        <w:spacing w:after="0" w:line="238" w:lineRule="auto"/>
        <w:rPr>
          <w:sz w:val="20"/>
          <w:szCs w:val="20"/>
          <w:color w:val="auto"/>
        </w:rPr>
      </w:pPr>
      <w:r>
        <w:rPr>
          <w:rFonts w:ascii="Arial" w:cs="Arial" w:eastAsia="Arial" w:hAnsi="Arial"/>
          <w:sz w:val="22"/>
          <w:szCs w:val="22"/>
          <w:color w:val="auto"/>
        </w:rPr>
        <w:t>The Board of Directors may provide a suitable seal, containing the name of the Corporation, which seal shall be in the charge of the secretary. If and when so directed by the Board of Directors or a committee thereof, duplicates of the seal may be kept and used by the treasurer or by the assistant secretary or assistant treasurer.</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Section 9.3 Reliance upon Books, Reports and Records</w:t>
      </w:r>
    </w:p>
    <w:p>
      <w:pPr>
        <w:spacing w:after="0" w:line="233" w:lineRule="exact"/>
        <w:rPr>
          <w:sz w:val="20"/>
          <w:szCs w:val="20"/>
          <w:color w:val="auto"/>
        </w:rPr>
      </w:pPr>
    </w:p>
    <w:p>
      <w:pPr>
        <w:ind w:left="200" w:right="419"/>
        <w:spacing w:after="0" w:line="297" w:lineRule="auto"/>
        <w:rPr>
          <w:sz w:val="20"/>
          <w:szCs w:val="20"/>
          <w:color w:val="auto"/>
        </w:rPr>
      </w:pPr>
      <w:r>
        <w:rPr>
          <w:rFonts w:ascii="Arial" w:cs="Arial" w:eastAsia="Arial" w:hAnsi="Arial"/>
          <w:sz w:val="19"/>
          <w:szCs w:val="19"/>
          <w:color w:val="auto"/>
        </w:rPr>
        <w:t>Each director, each member of any committee designated by the Board of Directors, and each officer of the Corporation shall, in the performance of his duties, be fully protected in relying in good faith upon the books of account or other records of the Corporation, including reports made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447675</wp:posOffset>
            </wp:positionV>
            <wp:extent cx="545211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8" w:right="1440" w:bottom="1440" w:gutter="0" w:footer="0" w:header="0"/>
        </w:sectPr>
      </w:pPr>
    </w:p>
    <w:bookmarkStart w:id="109" w:name="page110"/>
    <w:bookmarkEnd w:id="109"/>
    <w:p>
      <w:pPr>
        <w:ind w:left="200" w:right="519"/>
        <w:spacing w:after="0" w:line="250" w:lineRule="auto"/>
        <w:rPr>
          <w:sz w:val="20"/>
          <w:szCs w:val="20"/>
          <w:color w:val="auto"/>
        </w:rPr>
      </w:pPr>
      <w:r>
        <w:rPr>
          <w:rFonts w:ascii="Arial" w:cs="Arial" w:eastAsia="Arial" w:hAnsi="Arial"/>
          <w:sz w:val="22"/>
          <w:szCs w:val="22"/>
          <w:color w:val="auto"/>
        </w:rPr>
        <w:t>to the Corporation by any of its officers, by an independent certified public accountant, or by an appraiser selected with reasonable care.</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Section 9.4 Fiscal Year</w:t>
      </w:r>
    </w:p>
    <w:p>
      <w:pPr>
        <w:spacing w:after="0" w:line="233" w:lineRule="exact"/>
        <w:rPr>
          <w:sz w:val="20"/>
          <w:szCs w:val="20"/>
          <w:color w:val="auto"/>
        </w:rPr>
      </w:pPr>
    </w:p>
    <w:p>
      <w:pPr>
        <w:ind w:left="200" w:right="959"/>
        <w:spacing w:after="0" w:line="448" w:lineRule="auto"/>
        <w:rPr>
          <w:sz w:val="20"/>
          <w:szCs w:val="20"/>
          <w:color w:val="auto"/>
        </w:rPr>
      </w:pPr>
      <w:r>
        <w:rPr>
          <w:rFonts w:ascii="Arial" w:cs="Arial" w:eastAsia="Arial" w:hAnsi="Arial"/>
          <w:sz w:val="22"/>
          <w:szCs w:val="22"/>
          <w:color w:val="auto"/>
        </w:rPr>
        <w:t>The fiscal year of the Corporation shall be as fixed by resolution of the Board of Directors. Section 9.5 Time Periods</w:t>
      </w:r>
    </w:p>
    <w:p>
      <w:pPr>
        <w:spacing w:after="0" w:line="1" w:lineRule="exact"/>
        <w:rPr>
          <w:sz w:val="20"/>
          <w:szCs w:val="20"/>
          <w:color w:val="auto"/>
        </w:rPr>
      </w:pPr>
    </w:p>
    <w:p>
      <w:pPr>
        <w:ind w:left="200" w:right="439"/>
        <w:spacing w:after="0" w:line="238" w:lineRule="auto"/>
        <w:rPr>
          <w:sz w:val="20"/>
          <w:szCs w:val="20"/>
          <w:color w:val="auto"/>
        </w:rPr>
      </w:pPr>
      <w:r>
        <w:rPr>
          <w:rFonts w:ascii="Arial" w:cs="Arial" w:eastAsia="Arial" w:hAnsi="Arial"/>
          <w:sz w:val="22"/>
          <w:szCs w:val="22"/>
          <w:color w:val="auto"/>
        </w:rPr>
        <w:t>In applying any of these By-laws which require that an act be done or not done a specified number of days prior to any event or that an act be done during a period of a specified number of days prior to an event, calendar days shall be used, the day of the doing of the act shall be excluded and the day of the event shall be included.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AMENDMENTS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Section 10.1 Amendments</w:t>
      </w:r>
    </w:p>
    <w:p>
      <w:pPr>
        <w:spacing w:after="0" w:line="206" w:lineRule="exact"/>
        <w:rPr>
          <w:sz w:val="20"/>
          <w:szCs w:val="20"/>
          <w:color w:val="auto"/>
        </w:rPr>
      </w:pPr>
    </w:p>
    <w:p>
      <w:pPr>
        <w:ind w:left="200" w:right="519"/>
        <w:spacing w:after="0" w:line="250" w:lineRule="auto"/>
        <w:rPr>
          <w:sz w:val="20"/>
          <w:szCs w:val="20"/>
          <w:color w:val="auto"/>
        </w:rPr>
      </w:pPr>
      <w:r>
        <w:rPr>
          <w:rFonts w:ascii="Arial" w:cs="Arial" w:eastAsia="Arial" w:hAnsi="Arial"/>
          <w:sz w:val="22"/>
          <w:szCs w:val="22"/>
          <w:color w:val="auto"/>
        </w:rPr>
        <w:t>These By-laws, or any portion hereof, may be amended or repealed by the Board of Directors at any meeting or by the shareholders at any meeting.</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CERTIFICATE OF SECRETARY</w:t>
      </w:r>
    </w:p>
    <w:p>
      <w:pPr>
        <w:spacing w:after="0" w:line="200" w:lineRule="exact"/>
        <w:rPr>
          <w:sz w:val="20"/>
          <w:szCs w:val="20"/>
          <w:color w:val="auto"/>
        </w:rPr>
      </w:pPr>
    </w:p>
    <w:p>
      <w:pPr>
        <w:spacing w:after="0" w:line="255" w:lineRule="exact"/>
        <w:rPr>
          <w:sz w:val="20"/>
          <w:szCs w:val="20"/>
          <w:color w:val="auto"/>
        </w:rPr>
      </w:pPr>
    </w:p>
    <w:p>
      <w:pPr>
        <w:ind w:left="200" w:right="399"/>
        <w:spacing w:after="0" w:line="250" w:lineRule="auto"/>
        <w:rPr>
          <w:sz w:val="20"/>
          <w:szCs w:val="20"/>
          <w:color w:val="auto"/>
        </w:rPr>
      </w:pPr>
      <w:r>
        <w:rPr>
          <w:rFonts w:ascii="Arial" w:cs="Arial" w:eastAsia="Arial" w:hAnsi="Arial"/>
          <w:sz w:val="22"/>
          <w:szCs w:val="22"/>
          <w:color w:val="auto"/>
        </w:rPr>
        <w:t>I hereby certify that the foregoing Bylaws are a true, complete, and correct copy of the Bylaws of the Corporation as adopted as of September 7, 2023.</w:t>
      </w:r>
    </w:p>
    <w:p>
      <w:pPr>
        <w:spacing w:after="0" w:line="200" w:lineRule="exact"/>
        <w:rPr>
          <w:sz w:val="20"/>
          <w:szCs w:val="20"/>
          <w:color w:val="auto"/>
        </w:rPr>
      </w:pPr>
    </w:p>
    <w:p>
      <w:pPr>
        <w:spacing w:after="0" w:line="231" w:lineRule="exact"/>
        <w:rPr>
          <w:sz w:val="20"/>
          <w:szCs w:val="20"/>
          <w:color w:val="auto"/>
        </w:rPr>
      </w:pPr>
    </w:p>
    <w:p>
      <w:pPr>
        <w:ind w:left="300"/>
        <w:spacing w:after="0"/>
        <w:rPr>
          <w:sz w:val="20"/>
          <w:szCs w:val="20"/>
          <w:color w:val="auto"/>
        </w:rPr>
      </w:pPr>
      <w:r>
        <w:rPr>
          <w:rFonts w:ascii="Arial" w:cs="Arial" w:eastAsia="Arial" w:hAnsi="Arial"/>
          <w:sz w:val="22"/>
          <w:szCs w:val="22"/>
          <w:color w:val="auto"/>
        </w:rPr>
        <w:t>/s/ RYAN STASH</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22"/>
          <w:szCs w:val="22"/>
          <w:color w:val="auto"/>
        </w:rPr>
        <w:t>Ryan Stash,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-154940</wp:posOffset>
            </wp:positionV>
            <wp:extent cx="22199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9">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447675</wp:posOffset>
            </wp:positionV>
            <wp:extent cx="545211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88" w:right="1440" w:bottom="1440" w:gutter="0" w:footer="0" w:header="0"/>
        </w:sectPr>
      </w:pPr>
    </w:p>
    <w:bookmarkStart w:id="110" w:name="page111"/>
    <w:bookmarkEnd w:id="110"/>
    <w:p>
      <w:pPr>
        <w:jc w:val="right"/>
        <w:ind w:right="219"/>
        <w:spacing w:after="0"/>
        <w:rPr>
          <w:sz w:val="20"/>
          <w:szCs w:val="20"/>
          <w:color w:val="auto"/>
        </w:rPr>
      </w:pPr>
      <w:r>
        <w:rPr>
          <w:rFonts w:ascii="Arial" w:cs="Arial" w:eastAsia="Arial" w:hAnsi="Arial"/>
          <w:sz w:val="18"/>
          <w:szCs w:val="18"/>
          <w:b w:val="1"/>
          <w:bCs w:val="1"/>
          <w:color w:val="auto"/>
        </w:rPr>
        <w:t>EXHIBIT 4.4.2</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Evolution Petroleum Corporation</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Restricted Stock [and Performance Share] Award Agreement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200" w:right="219"/>
        <w:spacing w:after="0" w:line="243" w:lineRule="auto"/>
        <w:rPr>
          <w:sz w:val="20"/>
          <w:szCs w:val="20"/>
          <w:color w:val="auto"/>
        </w:rPr>
      </w:pPr>
      <w:r>
        <w:rPr>
          <w:rFonts w:ascii="Arial" w:cs="Arial" w:eastAsia="Arial" w:hAnsi="Arial"/>
          <w:sz w:val="22"/>
          <w:szCs w:val="22"/>
          <w:color w:val="auto"/>
        </w:rPr>
        <w:t>This Restricted Stock Award Agreement (this "</w:t>
      </w:r>
      <w:r>
        <w:rPr>
          <w:rFonts w:ascii="Arial" w:cs="Arial" w:eastAsia="Arial" w:hAnsi="Arial"/>
          <w:sz w:val="22"/>
          <w:szCs w:val="22"/>
          <w:b w:val="1"/>
          <w:bCs w:val="1"/>
          <w:color w:val="auto"/>
        </w:rPr>
        <w:t>Agreement</w:t>
      </w:r>
      <w:r>
        <w:rPr>
          <w:rFonts w:ascii="Arial" w:cs="Arial" w:eastAsia="Arial" w:hAnsi="Arial"/>
          <w:sz w:val="22"/>
          <w:szCs w:val="22"/>
          <w:color w:val="auto"/>
        </w:rPr>
        <w:t xml:space="preserve">") is made and entered into as of </w:t>
      </w:r>
      <w:r>
        <w:rPr>
          <w:rFonts w:ascii="Arial" w:cs="Arial" w:eastAsia="Arial" w:hAnsi="Arial"/>
          <w:sz w:val="22"/>
          <w:szCs w:val="22"/>
          <w:b w:val="1"/>
          <w:bCs w:val="1"/>
          <w:color w:val="auto"/>
        </w:rPr>
        <w:t xml:space="preserve">[DATE] </w:t>
      </w:r>
      <w:r>
        <w:rPr>
          <w:rFonts w:ascii="Arial" w:cs="Arial" w:eastAsia="Arial" w:hAnsi="Arial"/>
          <w:sz w:val="22"/>
          <w:szCs w:val="22"/>
          <w:color w:val="auto"/>
        </w:rPr>
        <w:t>(the "</w:t>
      </w:r>
      <w:r>
        <w:rPr>
          <w:rFonts w:ascii="Arial" w:cs="Arial" w:eastAsia="Arial" w:hAnsi="Arial"/>
          <w:sz w:val="22"/>
          <w:szCs w:val="22"/>
          <w:b w:val="1"/>
          <w:bCs w:val="1"/>
          <w:color w:val="auto"/>
        </w:rPr>
        <w:t>Grant Date</w:t>
      </w:r>
      <w:r>
        <w:rPr>
          <w:rFonts w:ascii="Arial" w:cs="Arial" w:eastAsia="Arial" w:hAnsi="Arial"/>
          <w:sz w:val="22"/>
          <w:szCs w:val="22"/>
          <w:color w:val="auto"/>
        </w:rPr>
        <w:t>") by and between Evolution Petroleum Corporation, a Nevada</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corporation (the "</w:t>
      </w:r>
      <w:r>
        <w:rPr>
          <w:rFonts w:ascii="Arial" w:cs="Arial" w:eastAsia="Arial" w:hAnsi="Arial"/>
          <w:sz w:val="22"/>
          <w:szCs w:val="22"/>
          <w:b w:val="1"/>
          <w:bCs w:val="1"/>
          <w:color w:val="auto"/>
        </w:rPr>
        <w:t>Company</w:t>
      </w:r>
      <w:r>
        <w:rPr>
          <w:rFonts w:ascii="Arial" w:cs="Arial" w:eastAsia="Arial" w:hAnsi="Arial"/>
          <w:sz w:val="22"/>
          <w:szCs w:val="22"/>
          <w:color w:val="auto"/>
        </w:rPr>
        <w:t>") and [</w:t>
      </w:r>
      <w:r>
        <w:rPr>
          <w:rFonts w:ascii="Arial" w:cs="Arial" w:eastAsia="Arial" w:hAnsi="Arial"/>
          <w:sz w:val="22"/>
          <w:szCs w:val="22"/>
          <w:b w:val="1"/>
          <w:bCs w:val="1"/>
          <w:color w:val="auto"/>
        </w:rPr>
        <w:t>NAME</w:t>
      </w:r>
      <w:r>
        <w:rPr>
          <w:rFonts w:ascii="Arial" w:cs="Arial" w:eastAsia="Arial" w:hAnsi="Arial"/>
          <w:sz w:val="22"/>
          <w:szCs w:val="22"/>
          <w:color w:val="auto"/>
        </w:rPr>
        <w:t>] (the "</w:t>
      </w:r>
      <w:r>
        <w:rPr>
          <w:rFonts w:ascii="Arial" w:cs="Arial" w:eastAsia="Arial" w:hAnsi="Arial"/>
          <w:sz w:val="22"/>
          <w:szCs w:val="22"/>
          <w:b w:val="1"/>
          <w:bCs w:val="1"/>
          <w:color w:val="auto"/>
        </w:rPr>
        <w:t>Participant</w:t>
      </w:r>
      <w:r>
        <w:rPr>
          <w:rFonts w:ascii="Arial" w:cs="Arial" w:eastAsia="Arial" w:hAnsi="Arial"/>
          <w:sz w:val="22"/>
          <w:szCs w:val="22"/>
          <w:color w:val="auto"/>
        </w:rPr>
        <w:t>").</w:t>
      </w:r>
    </w:p>
    <w:p>
      <w:pPr>
        <w:spacing w:after="0" w:line="177" w:lineRule="exact"/>
        <w:rPr>
          <w:sz w:val="20"/>
          <w:szCs w:val="20"/>
          <w:color w:val="auto"/>
        </w:rPr>
      </w:pPr>
    </w:p>
    <w:p>
      <w:pPr>
        <w:jc w:val="both"/>
        <w:ind w:left="200" w:right="219"/>
        <w:spacing w:after="0" w:line="334"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Company has adopted the Evolution Petroleum Corporation 2016 Equity</w:t>
      </w:r>
      <w:r>
        <w:rPr>
          <w:rFonts w:ascii="Arial" w:cs="Arial" w:eastAsia="Arial" w:hAnsi="Arial"/>
          <w:sz w:val="19"/>
          <w:szCs w:val="19"/>
          <w:b w:val="1"/>
          <w:bCs w:val="1"/>
          <w:color w:val="auto"/>
        </w:rPr>
        <w:t xml:space="preserve"> </w:t>
      </w:r>
      <w:r>
        <w:rPr>
          <w:rFonts w:ascii="Arial" w:cs="Arial" w:eastAsia="Arial" w:hAnsi="Arial"/>
          <w:sz w:val="19"/>
          <w:szCs w:val="19"/>
          <w:color w:val="auto"/>
        </w:rPr>
        <w:t>Incentive Plan (the "</w:t>
      </w:r>
      <w:r>
        <w:rPr>
          <w:rFonts w:ascii="Arial" w:cs="Arial" w:eastAsia="Arial" w:hAnsi="Arial"/>
          <w:sz w:val="19"/>
          <w:szCs w:val="19"/>
          <w:b w:val="1"/>
          <w:bCs w:val="1"/>
          <w:color w:val="auto"/>
        </w:rPr>
        <w:t>Plan</w:t>
      </w:r>
      <w:r>
        <w:rPr>
          <w:rFonts w:ascii="Arial" w:cs="Arial" w:eastAsia="Arial" w:hAnsi="Arial"/>
          <w:sz w:val="19"/>
          <w:szCs w:val="19"/>
          <w:color w:val="auto"/>
        </w:rPr>
        <w:t>") pursuant to which awards of Restricted Stock may be granted; and</w:t>
      </w:r>
    </w:p>
    <w:p>
      <w:pPr>
        <w:spacing w:after="0" w:line="94" w:lineRule="exact"/>
        <w:rPr>
          <w:sz w:val="20"/>
          <w:szCs w:val="20"/>
          <w:color w:val="auto"/>
        </w:rPr>
      </w:pPr>
    </w:p>
    <w:p>
      <w:pPr>
        <w:jc w:val="both"/>
        <w:ind w:left="200" w:right="219"/>
        <w:spacing w:after="0" w:line="280"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 the Committee has determined that it is in the best interests of the Company and its</w:t>
      </w:r>
      <w:r>
        <w:rPr>
          <w:rFonts w:ascii="Arial" w:cs="Arial" w:eastAsia="Arial" w:hAnsi="Arial"/>
          <w:sz w:val="21"/>
          <w:szCs w:val="21"/>
          <w:b w:val="1"/>
          <w:bCs w:val="1"/>
          <w:color w:val="auto"/>
        </w:rPr>
        <w:t xml:space="preserve"> </w:t>
      </w:r>
      <w:r>
        <w:rPr>
          <w:rFonts w:ascii="Arial" w:cs="Arial" w:eastAsia="Arial" w:hAnsi="Arial"/>
          <w:sz w:val="21"/>
          <w:szCs w:val="21"/>
          <w:color w:val="auto"/>
        </w:rPr>
        <w:t>shareholders to grant the award of Restricted Stock provided for herein.</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the parties hereto, intending to be legally bound, agree as follows:</w:t>
      </w:r>
    </w:p>
    <w:p>
      <w:pPr>
        <w:spacing w:after="0" w:line="212" w:lineRule="exact"/>
        <w:rPr>
          <w:sz w:val="20"/>
          <w:szCs w:val="20"/>
          <w:color w:val="auto"/>
        </w:rPr>
      </w:pPr>
    </w:p>
    <w:p>
      <w:pPr>
        <w:jc w:val="both"/>
        <w:ind w:left="200" w:right="219" w:firstLine="397"/>
        <w:spacing w:after="0" w:line="235" w:lineRule="auto"/>
        <w:tabs>
          <w:tab w:leader="none" w:pos="1107"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Grant of Restricted Stock</w:t>
      </w:r>
      <w:r>
        <w:rPr>
          <w:rFonts w:ascii="Arial" w:cs="Arial" w:eastAsia="Arial" w:hAnsi="Arial"/>
          <w:sz w:val="22"/>
          <w:szCs w:val="22"/>
          <w:color w:val="auto"/>
        </w:rPr>
        <w:t>. Pursuant to Section 7.2 of the Plan, the Company hereby issues to the Participant on the Grant Date a Restricted Stock Award consisting of, in the aggregate, [</w:t>
      </w:r>
      <w:r>
        <w:rPr>
          <w:rFonts w:ascii="Arial" w:cs="Arial" w:eastAsia="Arial" w:hAnsi="Arial"/>
          <w:sz w:val="22"/>
          <w:szCs w:val="22"/>
          <w:b w:val="1"/>
          <w:bCs w:val="1"/>
          <w:color w:val="auto"/>
        </w:rPr>
        <w:t>NUMBER</w:t>
      </w:r>
      <w:r>
        <w:rPr>
          <w:rFonts w:ascii="Arial" w:cs="Arial" w:eastAsia="Arial" w:hAnsi="Arial"/>
          <w:sz w:val="22"/>
          <w:szCs w:val="22"/>
          <w:color w:val="auto"/>
        </w:rPr>
        <w:t>] shares of Common Stock of the Company (the "</w:t>
      </w:r>
      <w:r>
        <w:rPr>
          <w:rFonts w:ascii="Arial" w:cs="Arial" w:eastAsia="Arial" w:hAnsi="Arial"/>
          <w:sz w:val="22"/>
          <w:szCs w:val="22"/>
          <w:b w:val="1"/>
          <w:bCs w:val="1"/>
          <w:color w:val="auto"/>
        </w:rPr>
        <w:t>Restricted Stock</w:t>
      </w:r>
      <w:r>
        <w:rPr>
          <w:rFonts w:ascii="Arial" w:cs="Arial" w:eastAsia="Arial" w:hAnsi="Arial"/>
          <w:sz w:val="22"/>
          <w:szCs w:val="22"/>
          <w:color w:val="auto"/>
        </w:rPr>
        <w:t>"), on the terms and conditions and subject to the restrictions set forth in this Agreement and the Plan. Capitalized terms that are used but not defined herein have the meaning ascribed to them in the Plan.</w:t>
      </w:r>
    </w:p>
    <w:p>
      <w:pPr>
        <w:spacing w:after="0" w:line="187" w:lineRule="exact"/>
        <w:rPr>
          <w:rFonts w:ascii="Arial" w:cs="Arial" w:eastAsia="Arial" w:hAnsi="Arial"/>
          <w:sz w:val="22"/>
          <w:szCs w:val="22"/>
          <w:color w:val="auto"/>
        </w:rPr>
      </w:pPr>
    </w:p>
    <w:p>
      <w:pPr>
        <w:ind w:left="1120" w:hanging="523"/>
        <w:spacing w:after="0"/>
        <w:tabs>
          <w:tab w:leader="none" w:pos="1120"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Restricted Period; Vesting</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120"/>
        <w:spacing w:after="0"/>
        <w:rPr>
          <w:rFonts w:ascii="Arial" w:cs="Arial" w:eastAsia="Arial" w:hAnsi="Arial"/>
          <w:sz w:val="22"/>
          <w:szCs w:val="22"/>
          <w:color w:val="auto"/>
        </w:rPr>
      </w:pPr>
      <w:r>
        <w:rPr>
          <w:rFonts w:ascii="Arial" w:cs="Arial" w:eastAsia="Arial" w:hAnsi="Arial"/>
          <w:sz w:val="22"/>
          <w:szCs w:val="22"/>
          <w:color w:val="auto"/>
        </w:rPr>
        <w:t>2.1    The following vesting schedule(s) shall apply:</w:t>
      </w:r>
    </w:p>
    <w:p>
      <w:pPr>
        <w:spacing w:after="0" w:line="200" w:lineRule="exact"/>
        <w:rPr>
          <w:rFonts w:ascii="Arial" w:cs="Arial" w:eastAsia="Arial" w:hAnsi="Arial"/>
          <w:sz w:val="22"/>
          <w:szCs w:val="22"/>
          <w:color w:val="auto"/>
        </w:rPr>
      </w:pPr>
    </w:p>
    <w:p>
      <w:pPr>
        <w:ind w:left="1120" w:right="539" w:firstLine="644"/>
        <w:spacing w:after="0" w:line="300" w:lineRule="auto"/>
        <w:tabs>
          <w:tab w:leader="none" w:pos="2416" w:val="left"/>
        </w:tabs>
        <w:numPr>
          <w:ilvl w:val="1"/>
          <w:numId w:val="53"/>
        </w:numPr>
        <w:rPr>
          <w:rFonts w:ascii="Arial" w:cs="Arial" w:eastAsia="Arial" w:hAnsi="Arial"/>
          <w:sz w:val="19"/>
          <w:szCs w:val="19"/>
          <w:color w:val="auto"/>
        </w:rPr>
      </w:pPr>
      <w:r>
        <w:rPr>
          <w:rFonts w:ascii="Arial" w:cs="Arial" w:eastAsia="Arial" w:hAnsi="Arial"/>
          <w:sz w:val="19"/>
          <w:szCs w:val="19"/>
          <w:color w:val="auto"/>
        </w:rPr>
        <w:t>As to [</w:t>
      </w:r>
      <w:r>
        <w:rPr>
          <w:rFonts w:ascii="Arial" w:cs="Arial" w:eastAsia="Arial" w:hAnsi="Arial"/>
          <w:sz w:val="19"/>
          <w:szCs w:val="19"/>
          <w:b w:val="1"/>
          <w:bCs w:val="1"/>
          <w:color w:val="auto"/>
        </w:rPr>
        <w:t>NUMBER</w:t>
      </w:r>
      <w:r>
        <w:rPr>
          <w:rFonts w:ascii="Arial" w:cs="Arial" w:eastAsia="Arial" w:hAnsi="Arial"/>
          <w:sz w:val="19"/>
          <w:szCs w:val="19"/>
          <w:color w:val="auto"/>
        </w:rPr>
        <w:t xml:space="preserve">] shares of Restricted Stock, except as otherwise provided herein, provided that the Participant remains in Continuous Service through each </w:t>
      </w:r>
      <w:r>
        <w:rPr>
          <w:rFonts w:ascii="Arial" w:cs="Arial" w:eastAsia="Arial" w:hAnsi="Arial"/>
          <w:sz w:val="19"/>
          <w:szCs w:val="19"/>
          <w:b w:val="1"/>
          <w:bCs w:val="1"/>
          <w:color w:val="auto"/>
        </w:rPr>
        <w:t>Vesting Date</w:t>
      </w:r>
      <w:r>
        <w:rPr>
          <w:rFonts w:ascii="Arial" w:cs="Arial" w:eastAsia="Arial" w:hAnsi="Arial"/>
          <w:sz w:val="19"/>
          <w:szCs w:val="19"/>
          <w:color w:val="auto"/>
        </w:rPr>
        <w:t>, such shares will vest in accordance with the following schedule:</w:t>
      </w:r>
    </w:p>
    <w:p>
      <w:pPr>
        <w:spacing w:after="0" w:line="147" w:lineRule="exact"/>
        <w:rPr>
          <w:sz w:val="20"/>
          <w:szCs w:val="20"/>
          <w:color w:val="auto"/>
        </w:rPr>
      </w:pPr>
    </w:p>
    <w:tbl>
      <w:tblPr>
        <w:tblLayout w:type="fixed"/>
        <w:tblInd w:w="720" w:type="dxa"/>
        <w:tblCellMar>
          <w:top w:w="0" w:type="dxa"/>
          <w:left w:w="0" w:type="dxa"/>
          <w:bottom w:w="0" w:type="dxa"/>
          <w:right w:w="0" w:type="dxa"/>
        </w:tblCellMar>
      </w:tblPr>
      <w:tr>
        <w:trPr>
          <w:trHeight w:val="310"/>
        </w:trPr>
        <w:tc>
          <w:tcPr>
            <w:tcW w:w="3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7"/>
              </w:rPr>
              <w:t>Vesting Date</w:t>
            </w:r>
          </w:p>
        </w:tc>
        <w:tc>
          <w:tcPr>
            <w:tcW w:w="3700" w:type="dxa"/>
            <w:vAlign w:val="bottom"/>
            <w:tcBorders>
              <w:top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Number of Shares of the Restricted</w:t>
            </w:r>
          </w:p>
        </w:tc>
      </w:tr>
      <w:tr>
        <w:trPr>
          <w:trHeight w:val="280"/>
        </w:trPr>
        <w:tc>
          <w:tcPr>
            <w:tcW w:w="3900" w:type="dxa"/>
            <w:vAlign w:val="bottom"/>
            <w:tcBorders>
              <w:right w:val="single" w:sz="8" w:color="auto"/>
            </w:tcBorders>
          </w:tcPr>
          <w:p>
            <w:pPr>
              <w:spacing w:after="0"/>
              <w:rPr>
                <w:sz w:val="24"/>
                <w:szCs w:val="24"/>
                <w:color w:val="auto"/>
              </w:rPr>
            </w:pPr>
          </w:p>
        </w:tc>
        <w:tc>
          <w:tcPr>
            <w:tcW w:w="3700" w:type="dxa"/>
            <w:vAlign w:val="bottom"/>
          </w:tcPr>
          <w:p>
            <w:pPr>
              <w:jc w:val="center"/>
              <w:spacing w:after="0"/>
              <w:rPr>
                <w:sz w:val="20"/>
                <w:szCs w:val="20"/>
                <w:color w:val="auto"/>
              </w:rPr>
            </w:pPr>
            <w:r>
              <w:rPr>
                <w:rFonts w:ascii="Arial" w:cs="Arial" w:eastAsia="Arial" w:hAnsi="Arial"/>
                <w:sz w:val="22"/>
                <w:szCs w:val="22"/>
                <w:b w:val="1"/>
                <w:bCs w:val="1"/>
                <w:color w:val="auto"/>
                <w:w w:val="85"/>
              </w:rPr>
              <w:t>Stock Vested</w:t>
            </w:r>
          </w:p>
        </w:tc>
      </w:tr>
      <w:tr>
        <w:trPr>
          <w:trHeight w:val="71"/>
        </w:trPr>
        <w:tc>
          <w:tcPr>
            <w:tcW w:w="3900" w:type="dxa"/>
            <w:vAlign w:val="bottom"/>
            <w:tcBorders>
              <w:bottom w:val="single" w:sz="8" w:color="auto"/>
              <w:right w:val="single" w:sz="8" w:color="auto"/>
            </w:tcBorders>
          </w:tcPr>
          <w:p>
            <w:pPr>
              <w:spacing w:after="0"/>
              <w:rPr>
                <w:sz w:val="6"/>
                <w:szCs w:val="6"/>
                <w:color w:val="auto"/>
              </w:rPr>
            </w:pPr>
          </w:p>
        </w:tc>
        <w:tc>
          <w:tcPr>
            <w:tcW w:w="3700" w:type="dxa"/>
            <w:vAlign w:val="bottom"/>
            <w:tcBorders>
              <w:bottom w:val="single" w:sz="8" w:color="auto"/>
            </w:tcBorders>
          </w:tcPr>
          <w:p>
            <w:pPr>
              <w:spacing w:after="0"/>
              <w:rPr>
                <w:sz w:val="6"/>
                <w:szCs w:val="6"/>
                <w:color w:val="auto"/>
              </w:rPr>
            </w:pPr>
          </w:p>
        </w:tc>
      </w:tr>
      <w:tr>
        <w:trPr>
          <w:trHeight w:val="301"/>
        </w:trPr>
        <w:tc>
          <w:tcPr>
            <w:tcW w:w="39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9"/>
              </w:rPr>
              <w:t>[</w:t>
            </w:r>
            <w:r>
              <w:rPr>
                <w:rFonts w:ascii="Arial" w:cs="Arial" w:eastAsia="Arial" w:hAnsi="Arial"/>
                <w:sz w:val="22"/>
                <w:szCs w:val="22"/>
                <w:b w:val="1"/>
                <w:bCs w:val="1"/>
                <w:color w:val="auto"/>
                <w:w w:val="99"/>
              </w:rPr>
              <w:t>DATE</w:t>
            </w:r>
            <w:r>
              <w:rPr>
                <w:rFonts w:ascii="Arial" w:cs="Arial" w:eastAsia="Arial" w:hAnsi="Arial"/>
                <w:sz w:val="22"/>
                <w:szCs w:val="22"/>
                <w:color w:val="auto"/>
                <w:w w:val="99"/>
              </w:rPr>
              <w:t>]</w:t>
            </w:r>
          </w:p>
        </w:tc>
        <w:tc>
          <w:tcPr>
            <w:tcW w:w="3700" w:type="dxa"/>
            <w:vAlign w:val="bottom"/>
          </w:tcPr>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NUMBER</w:t>
            </w:r>
            <w:r>
              <w:rPr>
                <w:rFonts w:ascii="Arial" w:cs="Arial" w:eastAsia="Arial" w:hAnsi="Arial"/>
                <w:sz w:val="22"/>
                <w:szCs w:val="22"/>
                <w:color w:val="auto"/>
              </w:rPr>
              <w:t>]</w:t>
            </w:r>
          </w:p>
        </w:tc>
      </w:tr>
      <w:tr>
        <w:trPr>
          <w:trHeight w:val="44"/>
        </w:trPr>
        <w:tc>
          <w:tcPr>
            <w:tcW w:w="39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r>
      <w:tr>
        <w:trPr>
          <w:trHeight w:val="301"/>
        </w:trPr>
        <w:tc>
          <w:tcPr>
            <w:tcW w:w="39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9"/>
              </w:rPr>
              <w:t>[</w:t>
            </w:r>
            <w:r>
              <w:rPr>
                <w:rFonts w:ascii="Arial" w:cs="Arial" w:eastAsia="Arial" w:hAnsi="Arial"/>
                <w:sz w:val="22"/>
                <w:szCs w:val="22"/>
                <w:b w:val="1"/>
                <w:bCs w:val="1"/>
                <w:color w:val="auto"/>
                <w:w w:val="99"/>
              </w:rPr>
              <w:t>DATE</w:t>
            </w:r>
            <w:r>
              <w:rPr>
                <w:rFonts w:ascii="Arial" w:cs="Arial" w:eastAsia="Arial" w:hAnsi="Arial"/>
                <w:sz w:val="22"/>
                <w:szCs w:val="22"/>
                <w:color w:val="auto"/>
                <w:w w:val="99"/>
              </w:rPr>
              <w:t>]</w:t>
            </w:r>
          </w:p>
        </w:tc>
        <w:tc>
          <w:tcPr>
            <w:tcW w:w="3700" w:type="dxa"/>
            <w:vAlign w:val="bottom"/>
          </w:tcPr>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NUMBER</w:t>
            </w:r>
            <w:r>
              <w:rPr>
                <w:rFonts w:ascii="Arial" w:cs="Arial" w:eastAsia="Arial" w:hAnsi="Arial"/>
                <w:sz w:val="22"/>
                <w:szCs w:val="22"/>
                <w:color w:val="auto"/>
              </w:rPr>
              <w:t>]</w:t>
            </w:r>
          </w:p>
        </w:tc>
      </w:tr>
      <w:tr>
        <w:trPr>
          <w:trHeight w:val="44"/>
        </w:trPr>
        <w:tc>
          <w:tcPr>
            <w:tcW w:w="39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r>
      <w:tr>
        <w:trPr>
          <w:trHeight w:val="300"/>
        </w:trPr>
        <w:tc>
          <w:tcPr>
            <w:tcW w:w="39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9"/>
              </w:rPr>
              <w:t>[</w:t>
            </w:r>
            <w:r>
              <w:rPr>
                <w:rFonts w:ascii="Arial" w:cs="Arial" w:eastAsia="Arial" w:hAnsi="Arial"/>
                <w:sz w:val="22"/>
                <w:szCs w:val="22"/>
                <w:b w:val="1"/>
                <w:bCs w:val="1"/>
                <w:color w:val="auto"/>
                <w:w w:val="99"/>
              </w:rPr>
              <w:t>DATE</w:t>
            </w:r>
            <w:r>
              <w:rPr>
                <w:rFonts w:ascii="Arial" w:cs="Arial" w:eastAsia="Arial" w:hAnsi="Arial"/>
                <w:sz w:val="22"/>
                <w:szCs w:val="22"/>
                <w:color w:val="auto"/>
                <w:w w:val="99"/>
              </w:rPr>
              <w:t>]</w:t>
            </w:r>
          </w:p>
        </w:tc>
        <w:tc>
          <w:tcPr>
            <w:tcW w:w="3700" w:type="dxa"/>
            <w:vAlign w:val="bottom"/>
          </w:tcPr>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NUMBER</w:t>
            </w:r>
            <w:r>
              <w:rPr>
                <w:rFonts w:ascii="Arial" w:cs="Arial" w:eastAsia="Arial" w:hAnsi="Arial"/>
                <w:sz w:val="22"/>
                <w:szCs w:val="22"/>
                <w:color w:val="auto"/>
              </w:rPr>
              <w:t>]</w:t>
            </w:r>
          </w:p>
        </w:tc>
      </w:tr>
      <w:tr>
        <w:trPr>
          <w:trHeight w:val="44"/>
        </w:trPr>
        <w:tc>
          <w:tcPr>
            <w:tcW w:w="39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r>
      <w:tr>
        <w:trPr>
          <w:trHeight w:val="301"/>
        </w:trPr>
        <w:tc>
          <w:tcPr>
            <w:tcW w:w="39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9"/>
              </w:rPr>
              <w:t>[</w:t>
            </w:r>
            <w:r>
              <w:rPr>
                <w:rFonts w:ascii="Arial" w:cs="Arial" w:eastAsia="Arial" w:hAnsi="Arial"/>
                <w:sz w:val="22"/>
                <w:szCs w:val="22"/>
                <w:b w:val="1"/>
                <w:bCs w:val="1"/>
                <w:color w:val="auto"/>
                <w:w w:val="99"/>
              </w:rPr>
              <w:t>DATE</w:t>
            </w:r>
            <w:r>
              <w:rPr>
                <w:rFonts w:ascii="Arial" w:cs="Arial" w:eastAsia="Arial" w:hAnsi="Arial"/>
                <w:sz w:val="22"/>
                <w:szCs w:val="22"/>
                <w:color w:val="auto"/>
                <w:w w:val="99"/>
              </w:rPr>
              <w:t>]</w:t>
            </w:r>
          </w:p>
        </w:tc>
        <w:tc>
          <w:tcPr>
            <w:tcW w:w="3700" w:type="dxa"/>
            <w:vAlign w:val="bottom"/>
          </w:tcPr>
          <w:p>
            <w:pPr>
              <w:jc w:val="center"/>
              <w:spacing w:after="0"/>
              <w:rPr>
                <w:sz w:val="20"/>
                <w:szCs w:val="20"/>
                <w:color w:val="auto"/>
              </w:rPr>
            </w:pPr>
            <w:r>
              <w:rPr>
                <w:rFonts w:ascii="Arial" w:cs="Arial" w:eastAsia="Arial" w:hAnsi="Arial"/>
                <w:sz w:val="22"/>
                <w:szCs w:val="22"/>
                <w:color w:val="auto"/>
                <w:w w:val="99"/>
              </w:rPr>
              <w:t>[</w:t>
            </w:r>
            <w:r>
              <w:rPr>
                <w:rFonts w:ascii="Arial" w:cs="Arial" w:eastAsia="Arial" w:hAnsi="Arial"/>
                <w:sz w:val="22"/>
                <w:szCs w:val="22"/>
                <w:b w:val="1"/>
                <w:bCs w:val="1"/>
                <w:color w:val="auto"/>
                <w:w w:val="99"/>
              </w:rPr>
              <w:t>NUMBER]</w:t>
            </w:r>
          </w:p>
        </w:tc>
      </w:tr>
      <w:tr>
        <w:trPr>
          <w:trHeight w:val="44"/>
        </w:trPr>
        <w:tc>
          <w:tcPr>
            <w:tcW w:w="39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r>
    </w:tbl>
    <w:p>
      <w:pPr>
        <w:spacing w:after="0" w:line="364" w:lineRule="exact"/>
        <w:rPr>
          <w:sz w:val="20"/>
          <w:szCs w:val="20"/>
          <w:color w:val="auto"/>
        </w:rPr>
      </w:pPr>
    </w:p>
    <w:p>
      <w:pPr>
        <w:ind w:left="1120" w:right="219" w:firstLine="644"/>
        <w:spacing w:after="0" w:line="300" w:lineRule="auto"/>
        <w:tabs>
          <w:tab w:leader="none" w:pos="2416"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[As to </w:t>
      </w:r>
      <w:r>
        <w:rPr>
          <w:rFonts w:ascii="Arial" w:cs="Arial" w:eastAsia="Arial" w:hAnsi="Arial"/>
          <w:sz w:val="19"/>
          <w:szCs w:val="19"/>
          <w:b w:val="1"/>
          <w:bCs w:val="1"/>
          <w:color w:val="auto"/>
        </w:rPr>
        <w:t>[NUMBER]</w:t>
      </w:r>
      <w:r>
        <w:rPr>
          <w:rFonts w:ascii="Arial" w:cs="Arial" w:eastAsia="Arial" w:hAnsi="Arial"/>
          <w:sz w:val="19"/>
          <w:szCs w:val="19"/>
          <w:color w:val="auto"/>
        </w:rPr>
        <w:t xml:space="preserve"> shares of Restricted Stock, except as otherwise provided herein, provided that the Participant remains in Continuous Service through the end of the three-year measurement period below, such shares will vest as follows:</w:t>
      </w:r>
    </w:p>
    <w:p>
      <w:pPr>
        <w:spacing w:after="0" w:line="132" w:lineRule="exact"/>
        <w:rPr>
          <w:sz w:val="20"/>
          <w:szCs w:val="20"/>
          <w:color w:val="auto"/>
        </w:rPr>
      </w:pPr>
    </w:p>
    <w:p>
      <w:pPr>
        <w:ind w:left="2420"/>
        <w:spacing w:after="0"/>
        <w:rPr>
          <w:sz w:val="20"/>
          <w:szCs w:val="20"/>
          <w:color w:val="auto"/>
        </w:rPr>
      </w:pPr>
      <w:r>
        <w:rPr>
          <w:rFonts w:ascii="Arial" w:cs="Arial" w:eastAsia="Arial" w:hAnsi="Arial"/>
          <w:sz w:val="22"/>
          <w:szCs w:val="22"/>
          <w:color w:val="auto"/>
        </w:rPr>
        <w:t>[INSERT PERFORMANCE CRITERIA]]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Page 1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22"/>
          <w:szCs w:val="22"/>
          <w:b w:val="1"/>
          <w:bCs w:val="1"/>
          <w:color w:val="auto"/>
        </w:rPr>
        <w:t>Evolution Petroleum Corporation</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Restricted Stock [and Performance Share] Award Agreement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120" w:right="659" w:firstLine="644"/>
        <w:spacing w:after="0" w:line="250" w:lineRule="auto"/>
        <w:tabs>
          <w:tab w:leader="none" w:pos="2416"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period over which the Restricted Stock vests is referred to as the "</w:t>
      </w:r>
      <w:r>
        <w:rPr>
          <w:rFonts w:ascii="Arial" w:cs="Arial" w:eastAsia="Arial" w:hAnsi="Arial"/>
          <w:sz w:val="22"/>
          <w:szCs w:val="22"/>
          <w:b w:val="1"/>
          <w:bCs w:val="1"/>
          <w:color w:val="auto"/>
        </w:rPr>
        <w:t>Restricted Period</w:t>
      </w:r>
      <w:r>
        <w:rPr>
          <w:rFonts w:ascii="Arial" w:cs="Arial" w:eastAsia="Arial" w:hAnsi="Arial"/>
          <w:sz w:val="22"/>
          <w:szCs w:val="22"/>
          <w:color w:val="auto"/>
        </w:rPr>
        <w:t>".</w:t>
      </w:r>
    </w:p>
    <w:p>
      <w:pPr>
        <w:spacing w:after="0" w:line="175" w:lineRule="exact"/>
        <w:rPr>
          <w:sz w:val="20"/>
          <w:szCs w:val="20"/>
          <w:color w:val="auto"/>
        </w:rPr>
      </w:pPr>
    </w:p>
    <w:p>
      <w:pPr>
        <w:jc w:val="both"/>
        <w:ind w:left="600" w:right="219" w:firstLine="518"/>
        <w:spacing w:after="0" w:line="287" w:lineRule="auto"/>
        <w:rPr>
          <w:sz w:val="20"/>
          <w:szCs w:val="20"/>
          <w:color w:val="auto"/>
        </w:rPr>
      </w:pPr>
      <w:r>
        <w:rPr>
          <w:rFonts w:ascii="Arial" w:cs="Arial" w:eastAsia="Arial" w:hAnsi="Arial"/>
          <w:sz w:val="19"/>
          <w:szCs w:val="19"/>
          <w:color w:val="auto"/>
        </w:rPr>
        <w:t>2.2 All unvested shares of Restricted Stock set forth in Section 2.1(a) [and 2.1(b)] above shall be forfeited upon termination of Participant’s Continuous Service with the Company and its Affiliates, and neither the Company nor any Affiliate shall have any further obligations to the Participant under this Agreement with respect thereto, except as follows:</w:t>
      </w:r>
    </w:p>
    <w:p>
      <w:pPr>
        <w:spacing w:after="0" w:line="143" w:lineRule="exact"/>
        <w:rPr>
          <w:sz w:val="20"/>
          <w:szCs w:val="20"/>
          <w:color w:val="auto"/>
        </w:rPr>
      </w:pPr>
    </w:p>
    <w:p>
      <w:pPr>
        <w:ind w:left="1120" w:right="239" w:firstLine="644"/>
        <w:spacing w:after="0" w:line="275" w:lineRule="auto"/>
        <w:tabs>
          <w:tab w:leader="none" w:pos="2416" w:val="left"/>
        </w:tabs>
        <w:numPr>
          <w:ilvl w:val="1"/>
          <w:numId w:val="56"/>
        </w:numPr>
        <w:rPr>
          <w:rFonts w:ascii="Arial" w:cs="Arial" w:eastAsia="Arial" w:hAnsi="Arial"/>
          <w:sz w:val="19"/>
          <w:szCs w:val="19"/>
          <w:color w:val="auto"/>
        </w:rPr>
      </w:pPr>
      <w:r>
        <w:rPr>
          <w:rFonts w:ascii="Arial" w:cs="Arial" w:eastAsia="Arial" w:hAnsi="Arial"/>
          <w:sz w:val="19"/>
          <w:szCs w:val="19"/>
          <w:color w:val="auto"/>
        </w:rPr>
        <w:t>With respect to Restricted Stock for time-based service set forth in Section 2.1(a) above, in the event that the Participant's Continuous Service is terminated by: (i) death or Disability, or by the Company without Cause, then a pro rata amount of the shares of Restricted Stock scheduled to vest on the next scheduled Vesting Date shall also vest based upon the number of elapsed days during the current vesting period up to and including the date of termination of Participant’s Continuous Service (for example, if the date of termination occurs halfway through the year, one half of the Restricted Stock vesting at the next scheduled Vesting Date shall vest).</w:t>
      </w:r>
    </w:p>
    <w:p>
      <w:pPr>
        <w:spacing w:after="0" w:line="157" w:lineRule="exact"/>
        <w:rPr>
          <w:rFonts w:ascii="Arial" w:cs="Arial" w:eastAsia="Arial" w:hAnsi="Arial"/>
          <w:sz w:val="19"/>
          <w:szCs w:val="19"/>
          <w:color w:val="auto"/>
        </w:rPr>
      </w:pPr>
    </w:p>
    <w:p>
      <w:pPr>
        <w:ind w:left="1120" w:right="239" w:firstLine="644"/>
        <w:spacing w:after="0" w:line="282" w:lineRule="auto"/>
        <w:tabs>
          <w:tab w:leader="none" w:pos="2416" w:val="left"/>
        </w:tabs>
        <w:numPr>
          <w:ilvl w:val="1"/>
          <w:numId w:val="56"/>
        </w:numPr>
        <w:rPr>
          <w:rFonts w:ascii="Arial" w:cs="Arial" w:eastAsia="Arial" w:hAnsi="Arial"/>
          <w:sz w:val="19"/>
          <w:szCs w:val="19"/>
          <w:color w:val="auto"/>
        </w:rPr>
      </w:pPr>
      <w:r>
        <w:rPr>
          <w:rFonts w:ascii="Arial" w:cs="Arial" w:eastAsia="Arial" w:hAnsi="Arial"/>
          <w:sz w:val="19"/>
          <w:szCs w:val="19"/>
          <w:color w:val="auto"/>
        </w:rPr>
        <w:t xml:space="preserve">If on or prior to the date Participant’s Continuous Service terminates, a Change in Control Event occurs as defined in the </w:t>
      </w:r>
      <w:r>
        <w:rPr>
          <w:rFonts w:ascii="Arial" w:cs="Arial" w:eastAsia="Arial" w:hAnsi="Arial"/>
          <w:sz w:val="19"/>
          <w:szCs w:val="19"/>
          <w:i w:val="1"/>
          <w:iCs w:val="1"/>
          <w:color w:val="auto"/>
        </w:rPr>
        <w:t>Evolution Petroleum Corporation</w:t>
      </w:r>
      <w:r>
        <w:rPr>
          <w:rFonts w:ascii="Arial" w:cs="Arial" w:eastAsia="Arial" w:hAnsi="Arial"/>
          <w:sz w:val="19"/>
          <w:szCs w:val="19"/>
          <w:color w:val="auto"/>
        </w:rPr>
        <w:t xml:space="preserve"> </w:t>
      </w:r>
      <w:r>
        <w:rPr>
          <w:rFonts w:ascii="Arial" w:cs="Arial" w:eastAsia="Arial" w:hAnsi="Arial"/>
          <w:sz w:val="19"/>
          <w:szCs w:val="19"/>
          <w:i w:val="1"/>
          <w:iCs w:val="1"/>
          <w:color w:val="auto"/>
        </w:rPr>
        <w:t>Severance Policy for Change in Control Events</w:t>
      </w:r>
      <w:r>
        <w:rPr>
          <w:rFonts w:ascii="Arial" w:cs="Arial" w:eastAsia="Arial" w:hAnsi="Arial"/>
          <w:sz w:val="19"/>
          <w:szCs w:val="19"/>
          <w:color w:val="auto"/>
        </w:rPr>
        <w:t>, as adopted August 11, 2010, as it may</w:t>
      </w:r>
      <w:r>
        <w:rPr>
          <w:rFonts w:ascii="Arial" w:cs="Arial" w:eastAsia="Arial" w:hAnsi="Arial"/>
          <w:sz w:val="19"/>
          <w:szCs w:val="19"/>
          <w:i w:val="1"/>
          <w:iCs w:val="1"/>
          <w:color w:val="auto"/>
        </w:rPr>
        <w:t xml:space="preserve"> </w:t>
      </w:r>
      <w:r>
        <w:rPr>
          <w:rFonts w:ascii="Arial" w:cs="Arial" w:eastAsia="Arial" w:hAnsi="Arial"/>
          <w:sz w:val="19"/>
          <w:szCs w:val="19"/>
          <w:color w:val="auto"/>
        </w:rPr>
        <w:t>be amended from time to time after the date hereof (as amended, the “CIC Policy”), then shares of Restricted Stock shall vest in accordance with the CIC Policy then in effect.</w:t>
      </w:r>
    </w:p>
    <w:p>
      <w:pPr>
        <w:spacing w:after="0" w:line="147" w:lineRule="exact"/>
        <w:rPr>
          <w:rFonts w:ascii="Arial" w:cs="Arial" w:eastAsia="Arial" w:hAnsi="Arial"/>
          <w:sz w:val="19"/>
          <w:szCs w:val="19"/>
          <w:color w:val="auto"/>
        </w:rPr>
      </w:pPr>
    </w:p>
    <w:p>
      <w:pPr>
        <w:jc w:val="both"/>
        <w:ind w:left="200" w:right="219" w:firstLine="397"/>
        <w:spacing w:after="0" w:line="282" w:lineRule="auto"/>
        <w:tabs>
          <w:tab w:leader="none" w:pos="1107"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Restrictions</w:t>
      </w:r>
      <w:r>
        <w:rPr>
          <w:rFonts w:ascii="Arial" w:cs="Arial" w:eastAsia="Arial" w:hAnsi="Arial"/>
          <w:sz w:val="19"/>
          <w:szCs w:val="19"/>
          <w:color w:val="auto"/>
        </w:rPr>
        <w:t>. Subject to any exceptions set forth in this Agreement or the Plan, during the Restricted Period, the Restricted Stock or the rights relating thereto may not be assigned, alienated, pledged, attached, sold or otherwise transferred or encumbered by the Participant. Any attempt to assign, alienate, pledge, attach, sell or otherwise transfer or encumber the Restricted Stock or the rights relating thereto during the Restricted Period shall be wholly ineffective.</w:t>
      </w:r>
    </w:p>
    <w:p>
      <w:pPr>
        <w:spacing w:after="0" w:line="147" w:lineRule="exact"/>
        <w:rPr>
          <w:rFonts w:ascii="Arial" w:cs="Arial" w:eastAsia="Arial" w:hAnsi="Arial"/>
          <w:sz w:val="19"/>
          <w:szCs w:val="19"/>
          <w:color w:val="auto"/>
        </w:rPr>
      </w:pPr>
    </w:p>
    <w:p>
      <w:pPr>
        <w:ind w:left="1120" w:hanging="523"/>
        <w:spacing w:after="0"/>
        <w:tabs>
          <w:tab w:leader="none" w:pos="1120"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Rights as Shareholder; Dividends</w:t>
      </w:r>
      <w:r>
        <w:rPr>
          <w:rFonts w:ascii="Arial" w:cs="Arial" w:eastAsia="Arial" w:hAnsi="Arial"/>
          <w:sz w:val="22"/>
          <w:szCs w:val="22"/>
          <w:color w:val="auto"/>
        </w:rPr>
        <w:t>.</w:t>
      </w:r>
    </w:p>
    <w:p>
      <w:pPr>
        <w:spacing w:after="0" w:line="206" w:lineRule="exact"/>
        <w:rPr>
          <w:sz w:val="20"/>
          <w:szCs w:val="20"/>
          <w:color w:val="auto"/>
        </w:rPr>
      </w:pPr>
    </w:p>
    <w:p>
      <w:pPr>
        <w:jc w:val="both"/>
        <w:ind w:left="600" w:right="219" w:firstLine="518"/>
        <w:spacing w:after="0" w:line="236" w:lineRule="auto"/>
        <w:rPr>
          <w:sz w:val="20"/>
          <w:szCs w:val="20"/>
          <w:color w:val="auto"/>
        </w:rPr>
      </w:pPr>
      <w:r>
        <w:rPr>
          <w:rFonts w:ascii="Arial" w:cs="Arial" w:eastAsia="Arial" w:hAnsi="Arial"/>
          <w:sz w:val="22"/>
          <w:szCs w:val="22"/>
          <w:color w:val="auto"/>
        </w:rPr>
        <w:t>4.1 The Participant shall be the owner of the Restricted Stock until the shares of Common Stock are forfeited, sold or otherwise disposed of, and until such time shall be entitled to all of the rights of a shareholder of the Company including, without limitation, the right to vote such shares and receive all dividends or other distributions paid with respect to such shares.</w:t>
      </w:r>
    </w:p>
    <w:p>
      <w:pPr>
        <w:spacing w:after="0" w:line="187" w:lineRule="exact"/>
        <w:rPr>
          <w:sz w:val="20"/>
          <w:szCs w:val="20"/>
          <w:color w:val="auto"/>
        </w:rPr>
      </w:pPr>
    </w:p>
    <w:p>
      <w:pPr>
        <w:jc w:val="both"/>
        <w:ind w:left="600" w:right="219" w:firstLine="518"/>
        <w:spacing w:after="0" w:line="252" w:lineRule="auto"/>
        <w:rPr>
          <w:sz w:val="20"/>
          <w:szCs w:val="20"/>
          <w:color w:val="auto"/>
        </w:rPr>
      </w:pPr>
      <w:r>
        <w:rPr>
          <w:rFonts w:ascii="Arial" w:cs="Arial" w:eastAsia="Arial" w:hAnsi="Arial"/>
          <w:sz w:val="21"/>
          <w:szCs w:val="21"/>
          <w:color w:val="auto"/>
        </w:rPr>
        <w:t>4.2 The Company may issue stock certificates or evidence the Participant's interest by using a restricted book entry account with the Company's transfer agent. In such circumstance, physical possession or custody of any stock certificates that are issued shall be retained by the Company until such time as the Restricted Stock vests.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Page 2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469900</wp:posOffset>
            </wp:positionV>
            <wp:extent cx="545211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112" w:name="page113"/>
    <w:bookmarkEnd w:id="112"/>
    <w:p>
      <w:pPr>
        <w:jc w:val="center"/>
        <w:ind w:right="19"/>
        <w:spacing w:after="0"/>
        <w:rPr>
          <w:sz w:val="20"/>
          <w:szCs w:val="20"/>
          <w:color w:val="auto"/>
        </w:rPr>
      </w:pPr>
      <w:r>
        <w:rPr>
          <w:rFonts w:ascii="Arial" w:cs="Arial" w:eastAsia="Arial" w:hAnsi="Arial"/>
          <w:sz w:val="22"/>
          <w:szCs w:val="22"/>
          <w:b w:val="1"/>
          <w:bCs w:val="1"/>
          <w:color w:val="auto"/>
        </w:rPr>
        <w:t>Evolution Petroleum Corporation</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Restricted Stock [and Performance Share] Award Agreement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600" w:right="219" w:firstLine="518"/>
        <w:spacing w:after="0" w:line="238" w:lineRule="auto"/>
        <w:rPr>
          <w:sz w:val="20"/>
          <w:szCs w:val="20"/>
          <w:color w:val="auto"/>
        </w:rPr>
      </w:pPr>
      <w:r>
        <w:rPr>
          <w:rFonts w:ascii="Arial" w:cs="Arial" w:eastAsia="Arial" w:hAnsi="Arial"/>
          <w:sz w:val="22"/>
          <w:szCs w:val="22"/>
          <w:color w:val="auto"/>
        </w:rPr>
        <w:t>4.3 If the Participant forfeits any rights he or she has under this Agreement in accordance with Section 2, the Participant shall, on the date of such forfeiture, no longer have any rights as a shareholder with respect to the forfeited Restricted Stock and shall no longer be entitled to vote or receive dividends on such shares.</w:t>
      </w:r>
    </w:p>
    <w:p>
      <w:pPr>
        <w:spacing w:after="0" w:line="185" w:lineRule="exact"/>
        <w:rPr>
          <w:sz w:val="20"/>
          <w:szCs w:val="20"/>
          <w:color w:val="auto"/>
        </w:rPr>
      </w:pPr>
    </w:p>
    <w:p>
      <w:pPr>
        <w:jc w:val="both"/>
        <w:ind w:left="200" w:right="219" w:firstLine="397"/>
        <w:spacing w:after="0" w:line="236" w:lineRule="auto"/>
        <w:tabs>
          <w:tab w:leader="none" w:pos="1107"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No Right to Continued Service</w:t>
      </w:r>
      <w:r>
        <w:rPr>
          <w:rFonts w:ascii="Arial" w:cs="Arial" w:eastAsia="Arial" w:hAnsi="Arial"/>
          <w:sz w:val="22"/>
          <w:szCs w:val="22"/>
          <w:color w:val="auto"/>
        </w:rPr>
        <w:t>. Neither the Plan nor this Agreement shall confer upon the Participant any right to be retained in any position, as an Employee, Consultant or Director of the Company. Further, nothing in the Plan or this Agreement shall be construed to limit the discretion of the Company to terminate the Participant's Continuous Service at any time, with or without Cause.</w:t>
      </w:r>
    </w:p>
    <w:p>
      <w:pPr>
        <w:spacing w:after="0" w:line="187" w:lineRule="exact"/>
        <w:rPr>
          <w:rFonts w:ascii="Arial" w:cs="Arial" w:eastAsia="Arial" w:hAnsi="Arial"/>
          <w:sz w:val="22"/>
          <w:szCs w:val="22"/>
          <w:color w:val="auto"/>
        </w:rPr>
      </w:pPr>
    </w:p>
    <w:p>
      <w:pPr>
        <w:jc w:val="both"/>
        <w:ind w:left="200" w:right="219" w:firstLine="397"/>
        <w:spacing w:after="0"/>
        <w:tabs>
          <w:tab w:leader="none" w:pos="1107"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Adjustments</w:t>
      </w:r>
      <w:r>
        <w:rPr>
          <w:rFonts w:ascii="Arial" w:cs="Arial" w:eastAsia="Arial" w:hAnsi="Arial"/>
          <w:sz w:val="22"/>
          <w:szCs w:val="22"/>
          <w:color w:val="auto"/>
        </w:rPr>
        <w:t>. If any change is made to the outstanding Common Stock or the capital structure of the Company, if required, the shares of Common Stock shall be adjusted or terminated in any manner as contemplated by Section 11 of the Plan.</w:t>
      </w:r>
    </w:p>
    <w:p>
      <w:pPr>
        <w:spacing w:after="0" w:line="186" w:lineRule="exact"/>
        <w:rPr>
          <w:rFonts w:ascii="Arial" w:cs="Arial" w:eastAsia="Arial" w:hAnsi="Arial"/>
          <w:sz w:val="22"/>
          <w:szCs w:val="22"/>
          <w:color w:val="auto"/>
        </w:rPr>
      </w:pPr>
    </w:p>
    <w:p>
      <w:pPr>
        <w:ind w:left="1120" w:hanging="523"/>
        <w:spacing w:after="0"/>
        <w:tabs>
          <w:tab w:leader="none" w:pos="1120"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Tax Liability and Withholding</w:t>
      </w:r>
      <w:r>
        <w:rPr>
          <w:rFonts w:ascii="Arial" w:cs="Arial" w:eastAsia="Arial" w:hAnsi="Arial"/>
          <w:sz w:val="22"/>
          <w:szCs w:val="22"/>
          <w:color w:val="auto"/>
        </w:rPr>
        <w:t>.</w:t>
      </w:r>
    </w:p>
    <w:p>
      <w:pPr>
        <w:spacing w:after="0" w:line="206" w:lineRule="exact"/>
        <w:rPr>
          <w:sz w:val="20"/>
          <w:szCs w:val="20"/>
          <w:color w:val="auto"/>
        </w:rPr>
      </w:pPr>
    </w:p>
    <w:p>
      <w:pPr>
        <w:jc w:val="both"/>
        <w:ind w:left="600" w:right="219" w:firstLine="518"/>
        <w:spacing w:after="0" w:line="246" w:lineRule="auto"/>
        <w:rPr>
          <w:sz w:val="20"/>
          <w:szCs w:val="20"/>
          <w:color w:val="auto"/>
        </w:rPr>
      </w:pPr>
      <w:r>
        <w:rPr>
          <w:rFonts w:ascii="Arial" w:cs="Arial" w:eastAsia="Arial" w:hAnsi="Arial"/>
          <w:sz w:val="21"/>
          <w:szCs w:val="21"/>
          <w:color w:val="auto"/>
        </w:rPr>
        <w:t>7.1 The Participant shall be required to pay to the Company, and the Company shall have the right to deduct from any compensation paid to the Participant pursuant to the Plan, the amount of any required withholding taxes in respect of the Restricted Stock and to take all such other action as the Committee deems necessary to satisfy all obligations for the payment of such withholding taxes. The Committee may permit the Participant to satisfy any federal, state or local tax withholding obligation by any of the following means, or by a combination of such means:</w:t>
      </w:r>
    </w:p>
    <w:p>
      <w:pPr>
        <w:spacing w:after="0" w:line="184" w:lineRule="exact"/>
        <w:rPr>
          <w:sz w:val="20"/>
          <w:szCs w:val="20"/>
          <w:color w:val="auto"/>
        </w:rPr>
      </w:pPr>
    </w:p>
    <w:p>
      <w:pPr>
        <w:ind w:left="2420" w:hanging="656"/>
        <w:spacing w:after="0"/>
        <w:tabs>
          <w:tab w:leader="none" w:pos="2420" w:val="left"/>
        </w:tabs>
        <w:numPr>
          <w:ilvl w:val="0"/>
          <w:numId w:val="59"/>
        </w:numPr>
        <w:rPr>
          <w:rFonts w:ascii="Arial" w:cs="Arial" w:eastAsia="Arial" w:hAnsi="Arial"/>
          <w:sz w:val="22"/>
          <w:szCs w:val="22"/>
          <w:color w:val="auto"/>
        </w:rPr>
      </w:pPr>
      <w:r>
        <w:rPr>
          <w:rFonts w:ascii="Arial" w:cs="Arial" w:eastAsia="Arial" w:hAnsi="Arial"/>
          <w:sz w:val="22"/>
          <w:szCs w:val="22"/>
          <w:color w:val="auto"/>
        </w:rPr>
        <w:t>Tendering a cash payment;</w:t>
      </w:r>
    </w:p>
    <w:p>
      <w:pPr>
        <w:spacing w:after="0" w:line="206" w:lineRule="exact"/>
        <w:rPr>
          <w:rFonts w:ascii="Arial" w:cs="Arial" w:eastAsia="Arial" w:hAnsi="Arial"/>
          <w:sz w:val="22"/>
          <w:szCs w:val="22"/>
          <w:color w:val="auto"/>
        </w:rPr>
      </w:pPr>
    </w:p>
    <w:p>
      <w:pPr>
        <w:jc w:val="both"/>
        <w:ind w:left="1120" w:right="219" w:firstLine="644"/>
        <w:spacing w:after="0" w:line="282" w:lineRule="auto"/>
        <w:tabs>
          <w:tab w:leader="none" w:pos="2416" w:val="left"/>
        </w:tabs>
        <w:numPr>
          <w:ilvl w:val="0"/>
          <w:numId w:val="59"/>
        </w:numPr>
        <w:rPr>
          <w:rFonts w:ascii="Arial" w:cs="Arial" w:eastAsia="Arial" w:hAnsi="Arial"/>
          <w:sz w:val="19"/>
          <w:szCs w:val="19"/>
          <w:color w:val="auto"/>
        </w:rPr>
      </w:pPr>
      <w:r>
        <w:rPr>
          <w:rFonts w:ascii="Arial" w:cs="Arial" w:eastAsia="Arial" w:hAnsi="Arial"/>
          <w:sz w:val="19"/>
          <w:szCs w:val="19"/>
          <w:color w:val="auto"/>
        </w:rPr>
        <w:t>Authorizing the Company to withhold shares of Common Stock from the shares of Common Stock otherwise issuable or deliverable to the Participant as a result of the vesting of the Restricted Stock; provided, however, that no shares of Common Stock shall be withheld with a value exceeding the Participant’s maximum marginal income tax rates, including federal, state and local, as applicable; and</w:t>
      </w:r>
    </w:p>
    <w:p>
      <w:pPr>
        <w:spacing w:after="0" w:line="147" w:lineRule="exact"/>
        <w:rPr>
          <w:rFonts w:ascii="Arial" w:cs="Arial" w:eastAsia="Arial" w:hAnsi="Arial"/>
          <w:sz w:val="19"/>
          <w:szCs w:val="19"/>
          <w:color w:val="auto"/>
        </w:rPr>
      </w:pPr>
    </w:p>
    <w:p>
      <w:pPr>
        <w:ind w:left="1120" w:right="219" w:firstLine="644"/>
        <w:spacing w:after="0" w:line="250" w:lineRule="auto"/>
        <w:tabs>
          <w:tab w:leader="none" w:pos="2416" w:val="left"/>
        </w:tabs>
        <w:numPr>
          <w:ilvl w:val="0"/>
          <w:numId w:val="59"/>
        </w:numPr>
        <w:rPr>
          <w:rFonts w:ascii="Arial" w:cs="Arial" w:eastAsia="Arial" w:hAnsi="Arial"/>
          <w:sz w:val="22"/>
          <w:szCs w:val="22"/>
          <w:color w:val="auto"/>
        </w:rPr>
      </w:pPr>
      <w:r>
        <w:rPr>
          <w:rFonts w:ascii="Arial" w:cs="Arial" w:eastAsia="Arial" w:hAnsi="Arial"/>
          <w:sz w:val="22"/>
          <w:szCs w:val="22"/>
          <w:color w:val="auto"/>
        </w:rPr>
        <w:t>Delivering to the Company previously owned and unencumbered shares of Common Stock.</w:t>
      </w:r>
    </w:p>
    <w:p>
      <w:pPr>
        <w:spacing w:after="0" w:line="175" w:lineRule="exact"/>
        <w:rPr>
          <w:sz w:val="20"/>
          <w:szCs w:val="20"/>
          <w:color w:val="auto"/>
        </w:rPr>
      </w:pPr>
    </w:p>
    <w:p>
      <w:pPr>
        <w:jc w:val="both"/>
        <w:ind w:left="600" w:right="219" w:firstLine="518"/>
        <w:spacing w:after="0" w:line="277" w:lineRule="auto"/>
        <w:rPr>
          <w:sz w:val="20"/>
          <w:szCs w:val="20"/>
          <w:color w:val="auto"/>
        </w:rPr>
      </w:pPr>
      <w:r>
        <w:rPr>
          <w:rFonts w:ascii="Arial" w:cs="Arial" w:eastAsia="Arial" w:hAnsi="Arial"/>
          <w:sz w:val="19"/>
          <w:szCs w:val="19"/>
          <w:color w:val="auto"/>
        </w:rPr>
        <w:t>7.2 Notwithstanding any action the Company takes with respect to any or all income tax, social insurance, payroll tax, or other tax-related withholding ("</w:t>
      </w:r>
      <w:r>
        <w:rPr>
          <w:rFonts w:ascii="Arial" w:cs="Arial" w:eastAsia="Arial" w:hAnsi="Arial"/>
          <w:sz w:val="19"/>
          <w:szCs w:val="19"/>
          <w:b w:val="1"/>
          <w:bCs w:val="1"/>
          <w:color w:val="auto"/>
        </w:rPr>
        <w:t>Tax-Related Items</w:t>
      </w:r>
      <w:r>
        <w:rPr>
          <w:rFonts w:ascii="Arial" w:cs="Arial" w:eastAsia="Arial" w:hAnsi="Arial"/>
          <w:sz w:val="19"/>
          <w:szCs w:val="19"/>
          <w:color w:val="auto"/>
        </w:rPr>
        <w:t>"), the ultimate liability for all Tax-Related Items is and remains the Participant's responsibility and the Company (a) makes no representation or undertakings regarding the treatment of any Tax-Related Items in connection with the grant or vesting of the Restricted Stock or the subsequent sale of any shares; and (b) does not commit to structure the Restricted Stock to reduce or eliminate the Participant's liability for Tax-Related Items.</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Page 3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469900</wp:posOffset>
            </wp:positionV>
            <wp:extent cx="545211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22"/>
          <w:szCs w:val="22"/>
          <w:b w:val="1"/>
          <w:bCs w:val="1"/>
          <w:color w:val="auto"/>
        </w:rPr>
        <w:t>Evolution Petroleum Corporation</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Restricted Stock [and Performance Share] Award Agreement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200" w:right="219" w:firstLine="397"/>
        <w:spacing w:after="0" w:line="275" w:lineRule="auto"/>
        <w:tabs>
          <w:tab w:leader="none" w:pos="1107"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Section 83(b) Election</w:t>
      </w:r>
      <w:r>
        <w:rPr>
          <w:rFonts w:ascii="Arial" w:cs="Arial" w:eastAsia="Arial" w:hAnsi="Arial"/>
          <w:sz w:val="19"/>
          <w:szCs w:val="19"/>
          <w:color w:val="auto"/>
        </w:rPr>
        <w:t>. The Participant may make an election under Code Section 83(b) (a "</w:t>
      </w:r>
      <w:r>
        <w:rPr>
          <w:rFonts w:ascii="Arial" w:cs="Arial" w:eastAsia="Arial" w:hAnsi="Arial"/>
          <w:sz w:val="19"/>
          <w:szCs w:val="19"/>
          <w:b w:val="1"/>
          <w:bCs w:val="1"/>
          <w:color w:val="auto"/>
        </w:rPr>
        <w:t>Section 83(b) Election</w:t>
      </w:r>
      <w:r>
        <w:rPr>
          <w:rFonts w:ascii="Arial" w:cs="Arial" w:eastAsia="Arial" w:hAnsi="Arial"/>
          <w:sz w:val="19"/>
          <w:szCs w:val="19"/>
          <w:color w:val="auto"/>
        </w:rPr>
        <w:t>") with respect to the Restricted Stock. Any such election must be made within thirty (30) days after the Grant Date. If the Participant elects to make a Section 83(b) Election, the Participant shall provide the Company with a copy of an executed version and satisfactory evidence of the filing of the executed Section 83(b) Election with the U.S. Internal Revenue Service. The Participant agrees to assume full responsibility for ensuring that the Section 83(b) Election is actually and timely filed with the U.S. Internal Revenue Service and for all tax consequences resulting from the Section 83(b) Election.</w:t>
      </w:r>
    </w:p>
    <w:p>
      <w:pPr>
        <w:spacing w:after="0" w:line="157" w:lineRule="exact"/>
        <w:rPr>
          <w:rFonts w:ascii="Arial" w:cs="Arial" w:eastAsia="Arial" w:hAnsi="Arial"/>
          <w:sz w:val="19"/>
          <w:szCs w:val="19"/>
          <w:color w:val="auto"/>
        </w:rPr>
      </w:pPr>
    </w:p>
    <w:p>
      <w:pPr>
        <w:jc w:val="both"/>
        <w:ind w:left="200" w:right="219" w:firstLine="397"/>
        <w:spacing w:after="0" w:line="274" w:lineRule="auto"/>
        <w:tabs>
          <w:tab w:leader="none" w:pos="1107"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Compliance with Law</w:t>
      </w:r>
      <w:r>
        <w:rPr>
          <w:rFonts w:ascii="Arial" w:cs="Arial" w:eastAsia="Arial" w:hAnsi="Arial"/>
          <w:sz w:val="19"/>
          <w:szCs w:val="19"/>
          <w:color w:val="auto"/>
        </w:rPr>
        <w:t>. The issuance and transfer of shares of Common Stock shall be subject to compliance by the Company and the Participant with all applicable requirements of federal and state securities laws and with all applicable requirements of any stock exchange on which the Company’s shares of Common Stock may be listed. No shares of Common Stock shall be issued or transferred unless and until any then applicable requirements of state and federal laws and regulatory agencies have been fully complied with to the satisfaction of the Company and its counsel. The Participant understands that the Company is under no obligation to register the shares of Common Stock with the Securities and Exchange Commission, any state securities commission or any stock exchange to effect such compliance.</w:t>
      </w:r>
    </w:p>
    <w:p>
      <w:pPr>
        <w:spacing w:after="0" w:line="158" w:lineRule="exact"/>
        <w:rPr>
          <w:rFonts w:ascii="Arial" w:cs="Arial" w:eastAsia="Arial" w:hAnsi="Arial"/>
          <w:sz w:val="19"/>
          <w:szCs w:val="19"/>
          <w:color w:val="auto"/>
        </w:rPr>
      </w:pPr>
    </w:p>
    <w:p>
      <w:pPr>
        <w:jc w:val="both"/>
        <w:ind w:left="200" w:right="219" w:firstLine="397"/>
        <w:spacing w:after="0" w:line="235" w:lineRule="auto"/>
        <w:tabs>
          <w:tab w:leader="none" w:pos="1107"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Legends</w:t>
      </w:r>
      <w:r>
        <w:rPr>
          <w:rFonts w:ascii="Arial" w:cs="Arial" w:eastAsia="Arial" w:hAnsi="Arial"/>
          <w:sz w:val="22"/>
          <w:szCs w:val="22"/>
          <w:color w:val="auto"/>
        </w:rPr>
        <w:t>. A legend may be placed on any certificate(s) or other document(s) delivered to the Participant indicating restrictions on transferability of the shares of Restricted Stock pursuant to this Agreement or any other restrictions that the Committee may deem advisable under the rules, regulations and other requirements of the Securities and Exchange Commission, any applicable federal or state securities laws or any stock exchange on which the shares of Common Stock are then listed or quoted.</w:t>
      </w:r>
    </w:p>
    <w:p>
      <w:pPr>
        <w:spacing w:after="0" w:line="187" w:lineRule="exact"/>
        <w:rPr>
          <w:rFonts w:ascii="Arial" w:cs="Arial" w:eastAsia="Arial" w:hAnsi="Arial"/>
          <w:sz w:val="22"/>
          <w:szCs w:val="22"/>
          <w:color w:val="auto"/>
        </w:rPr>
      </w:pPr>
    </w:p>
    <w:p>
      <w:pPr>
        <w:jc w:val="both"/>
        <w:ind w:left="200" w:right="219" w:firstLine="397"/>
        <w:spacing w:after="0" w:line="248" w:lineRule="auto"/>
        <w:tabs>
          <w:tab w:leader="none" w:pos="1107" w:val="left"/>
        </w:tabs>
        <w:numPr>
          <w:ilvl w:val="0"/>
          <w:numId w:val="60"/>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Any notice required to be delivered to the Company under this Agreement shall be in writing and addressed to the Company at the Company’s principal corporate offices. Any notice required to be delivered to the Participant under this Agreement shall be in writing and addressed to the Participant at the Participant's address as shown in the records of the Company. Either party may designate another address in writing (or by such other method approved by the Company) from time to time.</w:t>
      </w:r>
    </w:p>
    <w:p>
      <w:pPr>
        <w:spacing w:after="0" w:line="176" w:lineRule="exact"/>
        <w:rPr>
          <w:rFonts w:ascii="Arial" w:cs="Arial" w:eastAsia="Arial" w:hAnsi="Arial"/>
          <w:sz w:val="21"/>
          <w:szCs w:val="21"/>
          <w:color w:val="auto"/>
        </w:rPr>
      </w:pPr>
    </w:p>
    <w:p>
      <w:pPr>
        <w:ind w:left="200" w:right="459" w:firstLine="397"/>
        <w:spacing w:after="0" w:line="328" w:lineRule="auto"/>
        <w:tabs>
          <w:tab w:leader="none" w:pos="1107"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will be construed and interpreted in accordance with the laws of the State of Nevada without regard to conflict of law principles.</w:t>
      </w:r>
    </w:p>
    <w:p>
      <w:pPr>
        <w:spacing w:after="0" w:line="104" w:lineRule="exact"/>
        <w:rPr>
          <w:rFonts w:ascii="Arial" w:cs="Arial" w:eastAsia="Arial" w:hAnsi="Arial"/>
          <w:sz w:val="19"/>
          <w:szCs w:val="19"/>
          <w:color w:val="auto"/>
        </w:rPr>
      </w:pPr>
    </w:p>
    <w:p>
      <w:pPr>
        <w:jc w:val="both"/>
        <w:ind w:left="200" w:right="219" w:firstLine="397"/>
        <w:spacing w:after="0" w:line="297" w:lineRule="auto"/>
        <w:tabs>
          <w:tab w:leader="none" w:pos="1107"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Interpretation</w:t>
      </w:r>
      <w:r>
        <w:rPr>
          <w:rFonts w:ascii="Arial" w:cs="Arial" w:eastAsia="Arial" w:hAnsi="Arial"/>
          <w:sz w:val="19"/>
          <w:szCs w:val="19"/>
          <w:color w:val="auto"/>
        </w:rPr>
        <w:t>. Any dispute regarding the interpretation of this Agreement shall be submitted by the Participant or the Company to the Committee for review. The resolution of such dispute by the Committee shall be final and binding on the Participant and the Company.</w:t>
      </w:r>
    </w:p>
    <w:p>
      <w:pPr>
        <w:spacing w:after="0" w:line="133" w:lineRule="exact"/>
        <w:rPr>
          <w:rFonts w:ascii="Arial" w:cs="Arial" w:eastAsia="Arial" w:hAnsi="Arial"/>
          <w:sz w:val="19"/>
          <w:szCs w:val="19"/>
          <w:color w:val="auto"/>
        </w:rPr>
      </w:pPr>
    </w:p>
    <w:p>
      <w:pPr>
        <w:jc w:val="both"/>
        <w:ind w:left="200" w:right="219" w:firstLine="397"/>
        <w:spacing w:after="0" w:line="297" w:lineRule="auto"/>
        <w:tabs>
          <w:tab w:leader="none" w:pos="1107"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Restricted Stock Subject to Plan</w:t>
      </w:r>
      <w:r>
        <w:rPr>
          <w:rFonts w:ascii="Arial" w:cs="Arial" w:eastAsia="Arial" w:hAnsi="Arial"/>
          <w:sz w:val="19"/>
          <w:szCs w:val="19"/>
          <w:color w:val="auto"/>
        </w:rPr>
        <w:t>. This Agreement is subject to the Plan as approved by the Company’s shareholders. The terms and provisions of the Plan as it may be amended from time to time are hereby incorporated herein by reference. In the event of a conflict between any</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Page 4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469900</wp:posOffset>
            </wp:positionV>
            <wp:extent cx="545211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22"/>
          <w:szCs w:val="22"/>
          <w:b w:val="1"/>
          <w:bCs w:val="1"/>
          <w:color w:val="auto"/>
        </w:rPr>
        <w:t>Evolution Petroleum Corporation</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Restricted Stock [and Performance Share] Award Agreement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0" w:right="219"/>
        <w:spacing w:after="0" w:line="250" w:lineRule="auto"/>
        <w:rPr>
          <w:sz w:val="20"/>
          <w:szCs w:val="20"/>
          <w:color w:val="auto"/>
        </w:rPr>
      </w:pPr>
      <w:r>
        <w:rPr>
          <w:rFonts w:ascii="Arial" w:cs="Arial" w:eastAsia="Arial" w:hAnsi="Arial"/>
          <w:sz w:val="22"/>
          <w:szCs w:val="22"/>
          <w:color w:val="auto"/>
        </w:rPr>
        <w:t>term or provision contained herein and a term or provision of the Plan, the applicable terms and provisions of the Plan will govern and prevail.</w:t>
      </w:r>
    </w:p>
    <w:p>
      <w:pPr>
        <w:spacing w:after="0" w:line="175" w:lineRule="exact"/>
        <w:rPr>
          <w:sz w:val="20"/>
          <w:szCs w:val="20"/>
          <w:color w:val="auto"/>
        </w:rPr>
      </w:pPr>
    </w:p>
    <w:p>
      <w:pPr>
        <w:jc w:val="both"/>
        <w:ind w:left="200" w:right="219" w:firstLine="397"/>
        <w:spacing w:after="0" w:line="246" w:lineRule="auto"/>
        <w:tabs>
          <w:tab w:leader="none" w:pos="1107" w:val="left"/>
        </w:tabs>
        <w:numPr>
          <w:ilvl w:val="0"/>
          <w:numId w:val="61"/>
        </w:numPr>
        <w:rPr>
          <w:rFonts w:ascii="Arial" w:cs="Arial" w:eastAsia="Arial" w:hAnsi="Arial"/>
          <w:sz w:val="21"/>
          <w:szCs w:val="21"/>
          <w:color w:val="auto"/>
        </w:rPr>
      </w:pPr>
      <w:r>
        <w:rPr>
          <w:rFonts w:ascii="Arial" w:cs="Arial" w:eastAsia="Arial" w:hAnsi="Arial"/>
          <w:sz w:val="21"/>
          <w:szCs w:val="21"/>
          <w:u w:val="single" w:color="auto"/>
          <w:color w:val="auto"/>
        </w:rPr>
        <w:t>Clawbacks.</w:t>
      </w:r>
      <w:r>
        <w:rPr>
          <w:rFonts w:ascii="Arial" w:cs="Arial" w:eastAsia="Arial" w:hAnsi="Arial"/>
          <w:sz w:val="21"/>
          <w:szCs w:val="21"/>
          <w:color w:val="auto"/>
        </w:rPr>
        <w:t xml:space="preserve"> Participant shall be required to forfeit or reimburse the Company with respect to the Restricted Stock granted under this Agreement and the Plan to the extent required by any clawback or recoupment policy of the Company now in effect or as may be adopted by the Company from time to time, including, without limiting the foregoing, any clawback or recoupment policy adopted in accordance with Section 304 of the Sarbanes-Oxley Act of 2002, Section 954 of the Dodd-Frank Wall Street Reform and Consumer Protection Act, or as otherwise required by applicable law, rule or regulation.</w:t>
      </w:r>
    </w:p>
    <w:p>
      <w:pPr>
        <w:spacing w:after="0" w:line="184" w:lineRule="exact"/>
        <w:rPr>
          <w:rFonts w:ascii="Arial" w:cs="Arial" w:eastAsia="Arial" w:hAnsi="Arial"/>
          <w:sz w:val="21"/>
          <w:szCs w:val="21"/>
          <w:color w:val="auto"/>
        </w:rPr>
      </w:pPr>
    </w:p>
    <w:p>
      <w:pPr>
        <w:jc w:val="both"/>
        <w:ind w:left="200" w:right="219" w:firstLine="397"/>
        <w:spacing w:after="0" w:line="235" w:lineRule="auto"/>
        <w:tabs>
          <w:tab w:leader="none" w:pos="1107"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The Company may assign any of its rights under this Agreement. This Agreement will be binding upon and inure to the benefit of the successors and assigns of the Company. Subject to the restrictions on transfer set forth herein, this Agreement will be binding upon the Participant and the Participant's beneficiaries, executors, administrators and the person(s) to whom the Restricted Stock may be transferred by will or the laws of descent or distribution.</w:t>
      </w:r>
    </w:p>
    <w:p>
      <w:pPr>
        <w:spacing w:after="0" w:line="187" w:lineRule="exact"/>
        <w:rPr>
          <w:rFonts w:ascii="Arial" w:cs="Arial" w:eastAsia="Arial" w:hAnsi="Arial"/>
          <w:sz w:val="22"/>
          <w:szCs w:val="22"/>
          <w:color w:val="auto"/>
        </w:rPr>
      </w:pPr>
    </w:p>
    <w:p>
      <w:pPr>
        <w:jc w:val="both"/>
        <w:ind w:left="200" w:right="219" w:firstLine="397"/>
        <w:spacing w:after="0" w:line="238" w:lineRule="auto"/>
        <w:tabs>
          <w:tab w:leader="none" w:pos="1107"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p>
    <w:p>
      <w:pPr>
        <w:spacing w:after="0" w:line="184" w:lineRule="exact"/>
        <w:rPr>
          <w:rFonts w:ascii="Arial" w:cs="Arial" w:eastAsia="Arial" w:hAnsi="Arial"/>
          <w:sz w:val="22"/>
          <w:szCs w:val="22"/>
          <w:color w:val="auto"/>
        </w:rPr>
      </w:pPr>
    </w:p>
    <w:p>
      <w:pPr>
        <w:jc w:val="both"/>
        <w:ind w:left="200" w:right="219" w:firstLine="397"/>
        <w:spacing w:after="0" w:line="271" w:lineRule="auto"/>
        <w:tabs>
          <w:tab w:leader="none" w:pos="1107"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Discretionary Nature of Plan</w:t>
      </w:r>
      <w:r>
        <w:rPr>
          <w:rFonts w:ascii="Arial" w:cs="Arial" w:eastAsia="Arial" w:hAnsi="Arial"/>
          <w:sz w:val="19"/>
          <w:szCs w:val="19"/>
          <w:color w:val="auto"/>
        </w:rPr>
        <w:t>. The Plan is discretionary and may be amended, cancelled or terminated by the Company at any time, in its discretion. The grant of the Restricted Stock in this Agreement does not create any contractual right or other right to receive any Restricted Stock or other Awards in the future. Future Awards, if any, will be at the sole discretion of the Company.</w:t>
      </w:r>
    </w:p>
    <w:p>
      <w:pPr>
        <w:spacing w:after="0" w:line="3" w:lineRule="exact"/>
        <w:rPr>
          <w:rFonts w:ascii="Arial" w:cs="Arial" w:eastAsia="Arial" w:hAnsi="Arial"/>
          <w:sz w:val="19"/>
          <w:szCs w:val="19"/>
          <w:color w:val="auto"/>
        </w:rPr>
      </w:pPr>
    </w:p>
    <w:p>
      <w:pPr>
        <w:ind w:left="200" w:right="219" w:firstLine="113"/>
        <w:spacing w:after="0" w:line="256" w:lineRule="auto"/>
        <w:rPr>
          <w:rFonts w:ascii="Arial" w:cs="Arial" w:eastAsia="Arial" w:hAnsi="Arial"/>
          <w:sz w:val="19"/>
          <w:szCs w:val="19"/>
          <w:color w:val="auto"/>
        </w:rPr>
      </w:pPr>
      <w:r>
        <w:rPr>
          <w:rFonts w:ascii="Arial" w:cs="Arial" w:eastAsia="Arial" w:hAnsi="Arial"/>
          <w:sz w:val="21"/>
          <w:szCs w:val="21"/>
          <w:color w:val="auto"/>
        </w:rPr>
        <w:t>Any amendment, modification, or termination of the Plan shall not constitute a change or impairment of the terms and conditions of the Participant's employment with the Company.</w:t>
      </w:r>
    </w:p>
    <w:p>
      <w:pPr>
        <w:spacing w:after="0" w:line="168" w:lineRule="exact"/>
        <w:rPr>
          <w:rFonts w:ascii="Arial" w:cs="Arial" w:eastAsia="Arial" w:hAnsi="Arial"/>
          <w:sz w:val="19"/>
          <w:szCs w:val="19"/>
          <w:color w:val="auto"/>
        </w:rPr>
      </w:pPr>
    </w:p>
    <w:p>
      <w:pPr>
        <w:jc w:val="both"/>
        <w:ind w:left="200" w:right="219" w:firstLine="397"/>
        <w:spacing w:after="0" w:line="245" w:lineRule="auto"/>
        <w:tabs>
          <w:tab w:leader="none" w:pos="1107" w:val="left"/>
        </w:tabs>
        <w:numPr>
          <w:ilvl w:val="0"/>
          <w:numId w:val="61"/>
        </w:numPr>
        <w:rPr>
          <w:rFonts w:ascii="Arial" w:cs="Arial" w:eastAsia="Arial" w:hAnsi="Arial"/>
          <w:sz w:val="21"/>
          <w:szCs w:val="21"/>
          <w:color w:val="auto"/>
        </w:rPr>
      </w:pPr>
      <w:r>
        <w:rPr>
          <w:rFonts w:ascii="Arial" w:cs="Arial" w:eastAsia="Arial" w:hAnsi="Arial"/>
          <w:sz w:val="21"/>
          <w:szCs w:val="21"/>
          <w:u w:val="single" w:color="auto"/>
          <w:color w:val="auto"/>
        </w:rPr>
        <w:t>Amendment</w:t>
      </w:r>
      <w:r>
        <w:rPr>
          <w:rFonts w:ascii="Arial" w:cs="Arial" w:eastAsia="Arial" w:hAnsi="Arial"/>
          <w:sz w:val="21"/>
          <w:szCs w:val="21"/>
          <w:color w:val="auto"/>
        </w:rPr>
        <w:t>. The Committee has the right to amend, alter, suspend, discontinue or cancel the Restricted Stock, prospectively or retroactively; provided, that, no such amendment shall adversely affect the Participant's material rights under this Agreement without the Participant's consent; provided that the Committee may amend or modify this Agreement to the extent that the Committee determines, in its sole discretion, that the terms and conditions of the Award violate or may violate Code Section 409A; provided that, any such amendment or modification of an Award made pursuant to this Section 19 shall maintain, to the maximum extent practicable, the original intent of the applicable Award provision without contravening the provisions of Code Section 409A.</w:t>
      </w:r>
    </w:p>
    <w:p>
      <w:pPr>
        <w:spacing w:after="0" w:line="184" w:lineRule="exact"/>
        <w:rPr>
          <w:sz w:val="20"/>
          <w:szCs w:val="20"/>
          <w:color w:val="auto"/>
        </w:rPr>
      </w:pPr>
    </w:p>
    <w:p>
      <w:pPr>
        <w:jc w:val="both"/>
        <w:ind w:left="200" w:right="219" w:firstLine="389"/>
        <w:spacing w:after="0" w:line="287" w:lineRule="auto"/>
        <w:rPr>
          <w:sz w:val="20"/>
          <w:szCs w:val="20"/>
          <w:color w:val="auto"/>
        </w:rPr>
      </w:pPr>
      <w:r>
        <w:rPr>
          <w:rFonts w:ascii="Arial" w:cs="Arial" w:eastAsia="Arial" w:hAnsi="Arial"/>
          <w:sz w:val="19"/>
          <w:szCs w:val="19"/>
          <w:color w:val="auto"/>
        </w:rPr>
        <w:t>The amendment or modification of any Award pursuant to this Section 19 shall be at the Committee’s sole discretion and neither the Committee nor the Company shall be obligated to amend or modify any Award or the Plan, nor shall the Company be liable for any adverse tax or other consequences to a Participant resulting from such amendments or modifications or the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Page 5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469900</wp:posOffset>
            </wp:positionV>
            <wp:extent cx="545211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22"/>
          <w:szCs w:val="22"/>
          <w:b w:val="1"/>
          <w:bCs w:val="1"/>
          <w:color w:val="auto"/>
        </w:rPr>
        <w:t>Evolution Petroleum Corporation</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Restricted Stock [and Performance Share] Award Agreement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200" w:right="219"/>
        <w:spacing w:after="0" w:line="235" w:lineRule="auto"/>
        <w:rPr>
          <w:sz w:val="20"/>
          <w:szCs w:val="20"/>
          <w:color w:val="auto"/>
        </w:rPr>
      </w:pPr>
      <w:r>
        <w:rPr>
          <w:rFonts w:ascii="Arial" w:cs="Arial" w:eastAsia="Arial" w:hAnsi="Arial"/>
          <w:sz w:val="22"/>
          <w:szCs w:val="22"/>
          <w:color w:val="auto"/>
        </w:rPr>
        <w:t>Committee’s failure to make any such amendments or modifications for purposes of complying with Code Section 409A or for any other purpose. To the extent the Committee amends or modifies an Award pursuant to this Section 19, the Participant shall receive notification of any such changes to his or her Award and, unless the Committee determines otherwise, the changes described in such notification shall be deemed to amend the terms and conditions of the Award and this Agreement.</w:t>
      </w:r>
    </w:p>
    <w:p>
      <w:pPr>
        <w:spacing w:after="0" w:line="188" w:lineRule="exact"/>
        <w:rPr>
          <w:sz w:val="20"/>
          <w:szCs w:val="20"/>
          <w:color w:val="auto"/>
        </w:rPr>
      </w:pPr>
    </w:p>
    <w:p>
      <w:pPr>
        <w:jc w:val="both"/>
        <w:ind w:left="200" w:right="219" w:firstLine="397"/>
        <w:spacing w:after="0"/>
        <w:tabs>
          <w:tab w:leader="none" w:pos="1107"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No Impact on Other Benefits</w:t>
      </w:r>
      <w:r>
        <w:rPr>
          <w:rFonts w:ascii="Arial" w:cs="Arial" w:eastAsia="Arial" w:hAnsi="Arial"/>
          <w:sz w:val="22"/>
          <w:szCs w:val="22"/>
          <w:color w:val="auto"/>
        </w:rPr>
        <w:t>. The value of the Participant's Restricted Stock is not part of his normal or expected compensation for purposes of calculating any severance, retirement, welfare, insurance or similar employee benefit.</w:t>
      </w:r>
    </w:p>
    <w:p>
      <w:pPr>
        <w:spacing w:after="0" w:line="186" w:lineRule="exact"/>
        <w:rPr>
          <w:rFonts w:ascii="Arial" w:cs="Arial" w:eastAsia="Arial" w:hAnsi="Arial"/>
          <w:sz w:val="22"/>
          <w:szCs w:val="22"/>
          <w:color w:val="auto"/>
        </w:rPr>
      </w:pPr>
    </w:p>
    <w:p>
      <w:pPr>
        <w:ind w:left="200" w:right="259" w:firstLine="397"/>
        <w:spacing w:after="0" w:line="279" w:lineRule="auto"/>
        <w:tabs>
          <w:tab w:leader="none" w:pos="1107"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50" w:lineRule="exact"/>
        <w:rPr>
          <w:rFonts w:ascii="Arial" w:cs="Arial" w:eastAsia="Arial" w:hAnsi="Arial"/>
          <w:sz w:val="19"/>
          <w:szCs w:val="19"/>
          <w:color w:val="auto"/>
        </w:rPr>
      </w:pPr>
    </w:p>
    <w:p>
      <w:pPr>
        <w:ind w:left="200" w:right="259" w:firstLine="397"/>
        <w:spacing w:after="0" w:line="234" w:lineRule="auto"/>
        <w:tabs>
          <w:tab w:leader="none" w:pos="1107"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Acceptance</w:t>
      </w:r>
      <w:r>
        <w:rPr>
          <w:rFonts w:ascii="Arial" w:cs="Arial" w:eastAsia="Arial" w:hAnsi="Arial"/>
          <w:sz w:val="22"/>
          <w:szCs w:val="22"/>
          <w:color w:val="auto"/>
        </w:rPr>
        <w:t>. The Participant hereby acknowledges receipt of a copy of the Plan and this Agreement. The Participant has read and understands the terms and provisions thereof, and accepts the Restricted Stock subject to all of the terms and conditions of the Plan and this Agreement. The Participant acknowledges that there he or she has been advised to consult a tax advisor to understand the tax consequences of such grant, vesting and disposition. By acceptance of the restricted shares and performance share ward shares, the Participant accepts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Page 6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469900</wp:posOffset>
            </wp:positionV>
            <wp:extent cx="545211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116" w:name="page117"/>
    <w:bookmarkEnd w:id="116"/>
    <w:p>
      <w:pPr>
        <w:jc w:val="center"/>
        <w:spacing w:after="0"/>
        <w:rPr>
          <w:sz w:val="20"/>
          <w:szCs w:val="20"/>
          <w:color w:val="auto"/>
        </w:rPr>
      </w:pPr>
      <w:r>
        <w:rPr>
          <w:rFonts w:ascii="Arial" w:cs="Arial" w:eastAsia="Arial" w:hAnsi="Arial"/>
          <w:sz w:val="22"/>
          <w:szCs w:val="22"/>
          <w:b w:val="1"/>
          <w:bCs w:val="1"/>
          <w:color w:val="auto"/>
        </w:rPr>
        <w:t>Evolution Petroleum Corporation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[and Performance Share] Award Agreement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0" w:right="219"/>
        <w:spacing w:after="0" w:line="256"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hereto have executed this Agreement as of the date first</w:t>
      </w:r>
      <w:r>
        <w:rPr>
          <w:rFonts w:ascii="Arial" w:cs="Arial" w:eastAsia="Arial" w:hAnsi="Arial"/>
          <w:sz w:val="22"/>
          <w:szCs w:val="22"/>
          <w:b w:val="1"/>
          <w:bCs w:val="1"/>
          <w:color w:val="auto"/>
        </w:rPr>
        <w:t xml:space="preserve"> </w:t>
      </w:r>
      <w:r>
        <w:rPr>
          <w:rFonts w:ascii="Arial" w:cs="Arial" w:eastAsia="Arial" w:hAnsi="Arial"/>
          <w:sz w:val="22"/>
          <w:szCs w:val="22"/>
          <w:color w:val="auto"/>
        </w:rPr>
        <w:t>above written.</w:t>
      </w:r>
    </w:p>
    <w:p>
      <w:pPr>
        <w:spacing w:after="0" w:line="68" w:lineRule="exact"/>
        <w:rPr>
          <w:sz w:val="20"/>
          <w:szCs w:val="20"/>
          <w:color w:val="auto"/>
        </w:rPr>
      </w:pPr>
    </w:p>
    <w:p>
      <w:pPr>
        <w:ind w:left="4600"/>
        <w:spacing w:after="0"/>
        <w:rPr>
          <w:sz w:val="20"/>
          <w:szCs w:val="20"/>
          <w:color w:val="auto"/>
        </w:rPr>
      </w:pPr>
      <w:r>
        <w:rPr>
          <w:rFonts w:ascii="Arial" w:cs="Arial" w:eastAsia="Arial" w:hAnsi="Arial"/>
          <w:sz w:val="22"/>
          <w:szCs w:val="22"/>
          <w:b w:val="1"/>
          <w:bCs w:val="1"/>
          <w:color w:val="auto"/>
        </w:rPr>
        <w:t>EVOLUTION PETROLEUM</w:t>
      </w:r>
    </w:p>
    <w:p>
      <w:pPr>
        <w:spacing w:after="0" w:line="14" w:lineRule="exact"/>
        <w:rPr>
          <w:sz w:val="20"/>
          <w:szCs w:val="20"/>
          <w:color w:val="auto"/>
        </w:rPr>
      </w:pPr>
    </w:p>
    <w:p>
      <w:pPr>
        <w:ind w:left="4600"/>
        <w:spacing w:after="0"/>
        <w:rPr>
          <w:sz w:val="20"/>
          <w:szCs w:val="20"/>
          <w:color w:val="auto"/>
        </w:rPr>
      </w:pPr>
      <w:r>
        <w:rPr>
          <w:rFonts w:ascii="Arial" w:cs="Arial" w:eastAsia="Arial" w:hAnsi="Arial"/>
          <w:sz w:val="22"/>
          <w:szCs w:val="22"/>
          <w:b w:val="1"/>
          <w:bCs w:val="1"/>
          <w:color w:val="auto"/>
        </w:rPr>
        <w:t>CORPORATION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600"/>
        <w:spacing w:after="0"/>
        <w:tabs>
          <w:tab w:leader="none" w:pos="5160" w:val="left"/>
        </w:tabs>
        <w:rPr>
          <w:sz w:val="20"/>
          <w:szCs w:val="20"/>
          <w:color w:val="auto"/>
        </w:rPr>
      </w:pPr>
      <w:r>
        <w:rPr>
          <w:rFonts w:ascii="Arial" w:cs="Arial" w:eastAsia="Arial" w:hAnsi="Arial"/>
          <w:sz w:val="22"/>
          <w:szCs w:val="22"/>
          <w:color w:val="auto"/>
        </w:rPr>
        <w:t>By:</w:t>
        <w:tab/>
        <w:t>_____________________</w:t>
      </w:r>
    </w:p>
    <w:p>
      <w:pPr>
        <w:spacing w:after="0" w:line="98"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Name: Title:</w:t>
      </w:r>
    </w:p>
    <w:p>
      <w:pPr>
        <w:spacing w:after="0" w:line="200" w:lineRule="exact"/>
        <w:rPr>
          <w:sz w:val="20"/>
          <w:szCs w:val="20"/>
          <w:color w:val="auto"/>
        </w:rPr>
      </w:pPr>
    </w:p>
    <w:p>
      <w:pPr>
        <w:spacing w:after="0" w:line="284" w:lineRule="exact"/>
        <w:rPr>
          <w:sz w:val="20"/>
          <w:szCs w:val="20"/>
          <w:color w:val="auto"/>
        </w:rPr>
      </w:pPr>
    </w:p>
    <w:p>
      <w:pPr>
        <w:ind w:left="4600"/>
        <w:spacing w:after="0"/>
        <w:rPr>
          <w:sz w:val="20"/>
          <w:szCs w:val="20"/>
          <w:color w:val="auto"/>
        </w:rPr>
      </w:pPr>
      <w:r>
        <w:rPr>
          <w:rFonts w:ascii="Arial" w:cs="Arial" w:eastAsia="Arial" w:hAnsi="Arial"/>
          <w:sz w:val="22"/>
          <w:szCs w:val="22"/>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600"/>
        <w:spacing w:after="0"/>
        <w:tabs>
          <w:tab w:leader="none" w:pos="5220" w:val="left"/>
        </w:tabs>
        <w:rPr>
          <w:sz w:val="20"/>
          <w:szCs w:val="20"/>
          <w:color w:val="auto"/>
        </w:rPr>
      </w:pPr>
      <w:r>
        <w:rPr>
          <w:rFonts w:ascii="Arial" w:cs="Arial" w:eastAsia="Arial" w:hAnsi="Arial"/>
          <w:sz w:val="22"/>
          <w:szCs w:val="22"/>
          <w:color w:val="auto"/>
        </w:rPr>
        <w:t>By:</w:t>
        <w:tab/>
        <w:t>_____________________</w:t>
      </w:r>
    </w:p>
    <w:p>
      <w:pPr>
        <w:spacing w:after="0" w:line="98"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Page 7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469900</wp:posOffset>
            </wp:positionV>
            <wp:extent cx="545211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117" w:name="page118"/>
    <w:bookmarkEnd w:id="117"/>
    <w:p>
      <w:pPr>
        <w:jc w:val="right"/>
        <w:ind w:right="539"/>
        <w:spacing w:after="0"/>
        <w:rPr>
          <w:sz w:val="20"/>
          <w:szCs w:val="20"/>
          <w:color w:val="auto"/>
        </w:rPr>
      </w:pPr>
      <w:r>
        <w:rPr>
          <w:rFonts w:ascii="Arial" w:cs="Arial" w:eastAsia="Arial" w:hAnsi="Arial"/>
          <w:sz w:val="22"/>
          <w:szCs w:val="22"/>
          <w:b w:val="1"/>
          <w:bCs w:val="1"/>
          <w:color w:val="auto"/>
        </w:rPr>
        <w:t>EXHIBIT 4.5.1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Evolution Petroleum Corporation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Share Unit Award Agreement</w:t>
      </w:r>
    </w:p>
    <w:p>
      <w:pPr>
        <w:spacing w:after="0" w:line="206" w:lineRule="exact"/>
        <w:rPr>
          <w:sz w:val="20"/>
          <w:szCs w:val="20"/>
          <w:color w:val="auto"/>
        </w:rPr>
      </w:pPr>
    </w:p>
    <w:p>
      <w:pPr>
        <w:jc w:val="both"/>
        <w:ind w:left="540" w:right="539" w:firstLine="324"/>
        <w:spacing w:after="0" w:line="260" w:lineRule="auto"/>
        <w:rPr>
          <w:sz w:val="20"/>
          <w:szCs w:val="20"/>
          <w:color w:val="auto"/>
        </w:rPr>
      </w:pPr>
      <w:r>
        <w:rPr>
          <w:rFonts w:ascii="Arial" w:cs="Arial" w:eastAsia="Arial" w:hAnsi="Arial"/>
          <w:sz w:val="21"/>
          <w:szCs w:val="21"/>
          <w:color w:val="auto"/>
        </w:rPr>
        <w:t>This Performance Share Unit Award Agreement (this "</w:t>
      </w:r>
      <w:r>
        <w:rPr>
          <w:rFonts w:ascii="Arial" w:cs="Arial" w:eastAsia="Arial" w:hAnsi="Arial"/>
          <w:sz w:val="21"/>
          <w:szCs w:val="21"/>
          <w:b w:val="1"/>
          <w:bCs w:val="1"/>
          <w:color w:val="auto"/>
        </w:rPr>
        <w:t>Agreement</w:t>
      </w:r>
      <w:r>
        <w:rPr>
          <w:rFonts w:ascii="Arial" w:cs="Arial" w:eastAsia="Arial" w:hAnsi="Arial"/>
          <w:sz w:val="21"/>
          <w:szCs w:val="21"/>
          <w:color w:val="auto"/>
        </w:rPr>
        <w:t>") is made and entered into as of [</w:t>
      </w:r>
      <w:r>
        <w:rPr>
          <w:rFonts w:ascii="Arial" w:cs="Arial" w:eastAsia="Arial" w:hAnsi="Arial"/>
          <w:sz w:val="21"/>
          <w:szCs w:val="21"/>
          <w:b w:val="1"/>
          <w:bCs w:val="1"/>
          <w:color w:val="auto"/>
        </w:rPr>
        <w:t>DATE</w:t>
      </w:r>
      <w:r>
        <w:rPr>
          <w:rFonts w:ascii="Arial" w:cs="Arial" w:eastAsia="Arial" w:hAnsi="Arial"/>
          <w:sz w:val="21"/>
          <w:szCs w:val="21"/>
          <w:color w:val="auto"/>
        </w:rPr>
        <w:t>] (the "</w:t>
      </w:r>
      <w:r>
        <w:rPr>
          <w:rFonts w:ascii="Arial" w:cs="Arial" w:eastAsia="Arial" w:hAnsi="Arial"/>
          <w:sz w:val="21"/>
          <w:szCs w:val="21"/>
          <w:b w:val="1"/>
          <w:bCs w:val="1"/>
          <w:color w:val="auto"/>
        </w:rPr>
        <w:t>Grant Date</w:t>
      </w:r>
      <w:r>
        <w:rPr>
          <w:rFonts w:ascii="Arial" w:cs="Arial" w:eastAsia="Arial" w:hAnsi="Arial"/>
          <w:sz w:val="21"/>
          <w:szCs w:val="21"/>
          <w:color w:val="auto"/>
        </w:rPr>
        <w:t>") by and between Evolution Petroleum Corporation, a Nevada corporation (the "</w:t>
      </w:r>
      <w:r>
        <w:rPr>
          <w:rFonts w:ascii="Arial" w:cs="Arial" w:eastAsia="Arial" w:hAnsi="Arial"/>
          <w:sz w:val="21"/>
          <w:szCs w:val="21"/>
          <w:b w:val="1"/>
          <w:bCs w:val="1"/>
          <w:color w:val="auto"/>
        </w:rPr>
        <w:t>Company</w:t>
      </w:r>
      <w:r>
        <w:rPr>
          <w:rFonts w:ascii="Arial" w:cs="Arial" w:eastAsia="Arial" w:hAnsi="Arial"/>
          <w:sz w:val="21"/>
          <w:szCs w:val="21"/>
          <w:color w:val="auto"/>
        </w:rPr>
        <w:t>") and [</w:t>
      </w:r>
      <w:r>
        <w:rPr>
          <w:rFonts w:ascii="Arial" w:cs="Arial" w:eastAsia="Arial" w:hAnsi="Arial"/>
          <w:sz w:val="21"/>
          <w:szCs w:val="21"/>
          <w:b w:val="1"/>
          <w:bCs w:val="1"/>
          <w:color w:val="auto"/>
        </w:rPr>
        <w:t>NAME</w:t>
      </w:r>
      <w:r>
        <w:rPr>
          <w:rFonts w:ascii="Arial" w:cs="Arial" w:eastAsia="Arial" w:hAnsi="Arial"/>
          <w:sz w:val="21"/>
          <w:szCs w:val="21"/>
          <w:color w:val="auto"/>
        </w:rPr>
        <w:t>] (the "</w:t>
      </w:r>
      <w:r>
        <w:rPr>
          <w:rFonts w:ascii="Arial" w:cs="Arial" w:eastAsia="Arial" w:hAnsi="Arial"/>
          <w:sz w:val="21"/>
          <w:szCs w:val="21"/>
          <w:b w:val="1"/>
          <w:bCs w:val="1"/>
          <w:color w:val="auto"/>
        </w:rPr>
        <w:t>Participant</w:t>
      </w:r>
      <w:r>
        <w:rPr>
          <w:rFonts w:ascii="Arial" w:cs="Arial" w:eastAsia="Arial" w:hAnsi="Arial"/>
          <w:sz w:val="21"/>
          <w:szCs w:val="21"/>
          <w:color w:val="auto"/>
        </w:rPr>
        <w:t>").</w:t>
      </w:r>
    </w:p>
    <w:p>
      <w:pPr>
        <w:spacing w:after="0" w:line="160" w:lineRule="exact"/>
        <w:rPr>
          <w:sz w:val="20"/>
          <w:szCs w:val="20"/>
          <w:color w:val="auto"/>
        </w:rPr>
      </w:pPr>
    </w:p>
    <w:p>
      <w:pPr>
        <w:jc w:val="both"/>
        <w:ind w:left="540" w:right="559" w:firstLine="324"/>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has adopted the Evolution Petroleum Corporation 2016</w:t>
      </w:r>
      <w:r>
        <w:rPr>
          <w:rFonts w:ascii="Arial" w:cs="Arial" w:eastAsia="Arial" w:hAnsi="Arial"/>
          <w:sz w:val="22"/>
          <w:szCs w:val="22"/>
          <w:b w:val="1"/>
          <w:bCs w:val="1"/>
          <w:color w:val="auto"/>
        </w:rPr>
        <w:t xml:space="preserve"> </w:t>
      </w:r>
      <w:r>
        <w:rPr>
          <w:rFonts w:ascii="Arial" w:cs="Arial" w:eastAsia="Arial" w:hAnsi="Arial"/>
          <w:sz w:val="22"/>
          <w:szCs w:val="22"/>
          <w:color w:val="auto"/>
        </w:rPr>
        <w:t>Equity Incentive Plan (the "</w:t>
      </w:r>
      <w:r>
        <w:rPr>
          <w:rFonts w:ascii="Arial" w:cs="Arial" w:eastAsia="Arial" w:hAnsi="Arial"/>
          <w:sz w:val="22"/>
          <w:szCs w:val="22"/>
          <w:b w:val="1"/>
          <w:bCs w:val="1"/>
          <w:color w:val="auto"/>
        </w:rPr>
        <w:t>Plan</w:t>
      </w:r>
      <w:r>
        <w:rPr>
          <w:rFonts w:ascii="Arial" w:cs="Arial" w:eastAsia="Arial" w:hAnsi="Arial"/>
          <w:sz w:val="22"/>
          <w:szCs w:val="22"/>
          <w:color w:val="auto"/>
        </w:rPr>
        <w:t>") pursuant to which Performance Share Units may be granted; and</w:t>
      </w:r>
    </w:p>
    <w:p>
      <w:pPr>
        <w:spacing w:after="0" w:line="177" w:lineRule="exact"/>
        <w:rPr>
          <w:sz w:val="20"/>
          <w:szCs w:val="20"/>
          <w:color w:val="auto"/>
        </w:rPr>
      </w:pPr>
    </w:p>
    <w:p>
      <w:pPr>
        <w:jc w:val="both"/>
        <w:ind w:left="540" w:right="559" w:firstLine="324"/>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Committee has determined that it is in the best interests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and its shareholders to grant the award of Performance Share Units provided for herein.</w:t>
      </w:r>
    </w:p>
    <w:p>
      <w:pPr>
        <w:spacing w:after="0" w:line="177" w:lineRule="exact"/>
        <w:rPr>
          <w:sz w:val="20"/>
          <w:szCs w:val="20"/>
          <w:color w:val="auto"/>
        </w:rPr>
      </w:pPr>
    </w:p>
    <w:p>
      <w:pPr>
        <w:jc w:val="both"/>
        <w:ind w:left="540" w:right="559" w:firstLine="324"/>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the parties hereto, intending to be legally bound, agree as</w:t>
      </w:r>
      <w:r>
        <w:rPr>
          <w:rFonts w:ascii="Arial" w:cs="Arial" w:eastAsia="Arial" w:hAnsi="Arial"/>
          <w:sz w:val="22"/>
          <w:szCs w:val="22"/>
          <w:b w:val="1"/>
          <w:bCs w:val="1"/>
          <w:color w:val="auto"/>
        </w:rPr>
        <w:t xml:space="preserve"> </w:t>
      </w:r>
      <w:r>
        <w:rPr>
          <w:rFonts w:ascii="Arial" w:cs="Arial" w:eastAsia="Arial" w:hAnsi="Arial"/>
          <w:sz w:val="22"/>
          <w:szCs w:val="22"/>
          <w:color w:val="auto"/>
        </w:rPr>
        <w:t>follows:</w:t>
      </w:r>
    </w:p>
    <w:p>
      <w:pPr>
        <w:spacing w:after="0" w:line="168" w:lineRule="exact"/>
        <w:rPr>
          <w:sz w:val="20"/>
          <w:szCs w:val="20"/>
          <w:color w:val="auto"/>
        </w:rPr>
      </w:pPr>
    </w:p>
    <w:p>
      <w:pPr>
        <w:jc w:val="both"/>
        <w:ind w:left="540" w:right="539" w:firstLine="402"/>
        <w:spacing w:after="0" w:line="273" w:lineRule="auto"/>
        <w:tabs>
          <w:tab w:leader="none" w:pos="1431"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Grant of Performance Share Units</w:t>
      </w:r>
      <w:r>
        <w:rPr>
          <w:rFonts w:ascii="Arial" w:cs="Arial" w:eastAsia="Arial" w:hAnsi="Arial"/>
          <w:sz w:val="19"/>
          <w:szCs w:val="19"/>
          <w:color w:val="auto"/>
        </w:rPr>
        <w:t>. Pursuant to Section 7.3 of the Plan, the Company hereby grants to the Participant an Award covering a target number of [</w:t>
      </w:r>
      <w:r>
        <w:rPr>
          <w:rFonts w:ascii="Arial" w:cs="Arial" w:eastAsia="Arial" w:hAnsi="Arial"/>
          <w:sz w:val="19"/>
          <w:szCs w:val="19"/>
          <w:b w:val="1"/>
          <w:bCs w:val="1"/>
          <w:color w:val="auto"/>
        </w:rPr>
        <w:t>TARGET NUMBER</w:t>
      </w:r>
      <w:r>
        <w:rPr>
          <w:rFonts w:ascii="Arial" w:cs="Arial" w:eastAsia="Arial" w:hAnsi="Arial"/>
          <w:sz w:val="19"/>
          <w:szCs w:val="19"/>
          <w:color w:val="auto"/>
        </w:rPr>
        <w:t>] Performance Share Units (the "</w:t>
      </w:r>
      <w:r>
        <w:rPr>
          <w:rFonts w:ascii="Arial" w:cs="Arial" w:eastAsia="Arial" w:hAnsi="Arial"/>
          <w:sz w:val="19"/>
          <w:szCs w:val="19"/>
          <w:b w:val="1"/>
          <w:bCs w:val="1"/>
          <w:color w:val="auto"/>
        </w:rPr>
        <w:t>Target Award</w:t>
      </w:r>
      <w:r>
        <w:rPr>
          <w:rFonts w:ascii="Arial" w:cs="Arial" w:eastAsia="Arial" w:hAnsi="Arial"/>
          <w:sz w:val="19"/>
          <w:szCs w:val="19"/>
          <w:color w:val="auto"/>
        </w:rPr>
        <w:t>"). Each Performance Share Unit (“</w:t>
      </w:r>
      <w:r>
        <w:rPr>
          <w:rFonts w:ascii="Arial" w:cs="Arial" w:eastAsia="Arial" w:hAnsi="Arial"/>
          <w:sz w:val="19"/>
          <w:szCs w:val="19"/>
          <w:b w:val="1"/>
          <w:bCs w:val="1"/>
          <w:color w:val="auto"/>
        </w:rPr>
        <w:t>PSU</w:t>
      </w:r>
      <w:r>
        <w:rPr>
          <w:rFonts w:ascii="Arial" w:cs="Arial" w:eastAsia="Arial" w:hAnsi="Arial"/>
          <w:sz w:val="19"/>
          <w:szCs w:val="19"/>
          <w:color w:val="auto"/>
        </w:rPr>
        <w:t>”) represents the right to receive one share of Common Stock, subject to the terms and conditions set forth in this Agreement and the Plan. The number of shares of Common Stock under the PSUs that the Participant actually earns for the Performance Period (up to a maximum of [</w:t>
      </w:r>
      <w:r>
        <w:rPr>
          <w:rFonts w:ascii="Arial" w:cs="Arial" w:eastAsia="Arial" w:hAnsi="Arial"/>
          <w:sz w:val="19"/>
          <w:szCs w:val="19"/>
          <w:b w:val="1"/>
          <w:bCs w:val="1"/>
          <w:color w:val="auto"/>
        </w:rPr>
        <w:t>MAXIMUM NUMBER</w:t>
      </w:r>
      <w:r>
        <w:rPr>
          <w:rFonts w:ascii="Arial" w:cs="Arial" w:eastAsia="Arial" w:hAnsi="Arial"/>
          <w:sz w:val="19"/>
          <w:szCs w:val="19"/>
          <w:color w:val="auto"/>
        </w:rPr>
        <w:t xml:space="preserve">] will be determined by the level of achievement of the Performance Goals in accordance with </w:t>
      </w:r>
      <w:r>
        <w:rPr>
          <w:rFonts w:ascii="Arial" w:cs="Arial" w:eastAsia="Arial" w:hAnsi="Arial"/>
          <w:sz w:val="19"/>
          <w:szCs w:val="19"/>
          <w:b w:val="1"/>
          <w:bCs w:val="1"/>
          <w:color w:val="auto"/>
        </w:rPr>
        <w:t xml:space="preserve">Exhibit I </w:t>
      </w:r>
      <w:r>
        <w:rPr>
          <w:rFonts w:ascii="Arial" w:cs="Arial" w:eastAsia="Arial" w:hAnsi="Arial"/>
          <w:sz w:val="19"/>
          <w:szCs w:val="19"/>
          <w:color w:val="auto"/>
        </w:rPr>
        <w:t>attached hereto (the “</w:t>
      </w:r>
      <w:r>
        <w:rPr>
          <w:rFonts w:ascii="Arial" w:cs="Arial" w:eastAsia="Arial" w:hAnsi="Arial"/>
          <w:sz w:val="19"/>
          <w:szCs w:val="19"/>
          <w:b w:val="1"/>
          <w:bCs w:val="1"/>
          <w:color w:val="auto"/>
        </w:rPr>
        <w:t>Performance Shares</w:t>
      </w:r>
      <w:r>
        <w:rPr>
          <w:rFonts w:ascii="Arial" w:cs="Arial" w:eastAsia="Arial" w:hAnsi="Arial"/>
          <w:sz w:val="19"/>
          <w:szCs w:val="19"/>
          <w:color w:val="auto"/>
        </w:rPr>
        <w:t>”). Capitalized terms that are used but</w:t>
      </w:r>
      <w:r>
        <w:rPr>
          <w:rFonts w:ascii="Arial" w:cs="Arial" w:eastAsia="Arial" w:hAnsi="Arial"/>
          <w:sz w:val="19"/>
          <w:szCs w:val="19"/>
          <w:b w:val="1"/>
          <w:bCs w:val="1"/>
          <w:color w:val="auto"/>
        </w:rPr>
        <w:t xml:space="preserve"> </w:t>
      </w:r>
      <w:r>
        <w:rPr>
          <w:rFonts w:ascii="Arial" w:cs="Arial" w:eastAsia="Arial" w:hAnsi="Arial"/>
          <w:sz w:val="19"/>
          <w:szCs w:val="19"/>
          <w:color w:val="auto"/>
        </w:rPr>
        <w:t>not defined herein have the meanings ascribed to them in the Plan.</w:t>
      </w:r>
    </w:p>
    <w:p>
      <w:pPr>
        <w:spacing w:after="0" w:line="160" w:lineRule="exact"/>
        <w:rPr>
          <w:rFonts w:ascii="Arial" w:cs="Arial" w:eastAsia="Arial" w:hAnsi="Arial"/>
          <w:sz w:val="19"/>
          <w:szCs w:val="19"/>
          <w:color w:val="auto"/>
        </w:rPr>
      </w:pPr>
    </w:p>
    <w:p>
      <w:pPr>
        <w:ind w:left="540" w:right="559" w:firstLine="402"/>
        <w:spacing w:after="0" w:line="328" w:lineRule="auto"/>
        <w:tabs>
          <w:tab w:leader="none" w:pos="1431"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Performance Period</w:t>
      </w:r>
      <w:r>
        <w:rPr>
          <w:rFonts w:ascii="Arial" w:cs="Arial" w:eastAsia="Arial" w:hAnsi="Arial"/>
          <w:sz w:val="19"/>
          <w:szCs w:val="19"/>
          <w:color w:val="auto"/>
        </w:rPr>
        <w:t xml:space="preserve">. For purposes of this Agreement, the term "Performance Period" shall be the period commencing on </w:t>
      </w:r>
      <w:r>
        <w:rPr>
          <w:rFonts w:ascii="Arial" w:cs="Arial" w:eastAsia="Arial" w:hAnsi="Arial"/>
          <w:sz w:val="19"/>
          <w:szCs w:val="19"/>
          <w:b w:val="1"/>
          <w:bCs w:val="1"/>
          <w:color w:val="auto"/>
        </w:rPr>
        <w:t>[DATE]</w:t>
      </w:r>
      <w:r>
        <w:rPr>
          <w:rFonts w:ascii="Arial" w:cs="Arial" w:eastAsia="Arial" w:hAnsi="Arial"/>
          <w:sz w:val="19"/>
          <w:szCs w:val="19"/>
          <w:color w:val="auto"/>
        </w:rPr>
        <w:t xml:space="preserve"> and ending on </w:t>
      </w:r>
      <w:r>
        <w:rPr>
          <w:rFonts w:ascii="Arial" w:cs="Arial" w:eastAsia="Arial" w:hAnsi="Arial"/>
          <w:sz w:val="19"/>
          <w:szCs w:val="19"/>
          <w:b w:val="1"/>
          <w:bCs w:val="1"/>
          <w:color w:val="auto"/>
        </w:rPr>
        <w:t>[DATE]</w:t>
      </w:r>
      <w:r>
        <w:rPr>
          <w:rFonts w:ascii="Arial" w:cs="Arial" w:eastAsia="Arial" w:hAnsi="Arial"/>
          <w:sz w:val="19"/>
          <w:szCs w:val="19"/>
          <w:color w:val="auto"/>
        </w:rPr>
        <w:t>.</w:t>
      </w:r>
    </w:p>
    <w:p>
      <w:pPr>
        <w:spacing w:after="0" w:line="104" w:lineRule="exact"/>
        <w:rPr>
          <w:rFonts w:ascii="Arial" w:cs="Arial" w:eastAsia="Arial" w:hAnsi="Arial"/>
          <w:sz w:val="19"/>
          <w:szCs w:val="19"/>
          <w:color w:val="auto"/>
        </w:rPr>
      </w:pPr>
    </w:p>
    <w:p>
      <w:pPr>
        <w:ind w:left="1420" w:hanging="478"/>
        <w:spacing w:after="0"/>
        <w:tabs>
          <w:tab w:leader="none" w:pos="1420"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Performance Goals</w:t>
      </w:r>
      <w:r>
        <w:rPr>
          <w:rFonts w:ascii="Arial" w:cs="Arial" w:eastAsia="Arial" w:hAnsi="Arial"/>
          <w:sz w:val="22"/>
          <w:szCs w:val="22"/>
          <w:color w:val="auto"/>
        </w:rPr>
        <w:t>.</w:t>
      </w:r>
    </w:p>
    <w:p>
      <w:pPr>
        <w:spacing w:after="0" w:line="233" w:lineRule="exact"/>
        <w:rPr>
          <w:sz w:val="20"/>
          <w:szCs w:val="20"/>
          <w:color w:val="auto"/>
        </w:rPr>
      </w:pPr>
    </w:p>
    <w:p>
      <w:pPr>
        <w:jc w:val="both"/>
        <w:ind w:left="940" w:right="539" w:firstLine="486"/>
        <w:spacing w:after="0" w:line="279" w:lineRule="auto"/>
        <w:rPr>
          <w:sz w:val="20"/>
          <w:szCs w:val="20"/>
          <w:color w:val="auto"/>
        </w:rPr>
      </w:pPr>
      <w:r>
        <w:rPr>
          <w:rFonts w:ascii="Arial" w:cs="Arial" w:eastAsia="Arial" w:hAnsi="Arial"/>
          <w:sz w:val="19"/>
          <w:szCs w:val="19"/>
          <w:color w:val="auto"/>
        </w:rPr>
        <w:t>3.1 The number of Performance Shares earned by the Participant under the PSUs for the Performance Period will be determined at the end of the Performance Period based on the level of achievement of the Performance Goals in accordance with Exhibit I. All determinations of whether Performance Goals have been achieved, the number of Performance Shares earned under the PSUs by the Participant, and all other matters related to this Section 3 shall be made by the Committee in its sole discretion.</w:t>
      </w:r>
    </w:p>
    <w:p>
      <w:pPr>
        <w:spacing w:after="0" w:line="150" w:lineRule="exact"/>
        <w:rPr>
          <w:sz w:val="20"/>
          <w:szCs w:val="20"/>
          <w:color w:val="auto"/>
        </w:rPr>
      </w:pPr>
    </w:p>
    <w:p>
      <w:pPr>
        <w:jc w:val="both"/>
        <w:ind w:left="940" w:right="559" w:firstLine="486"/>
        <w:spacing w:after="0" w:line="287" w:lineRule="auto"/>
        <w:rPr>
          <w:sz w:val="20"/>
          <w:szCs w:val="20"/>
          <w:color w:val="auto"/>
        </w:rPr>
      </w:pPr>
      <w:r>
        <w:rPr>
          <w:rFonts w:ascii="Arial" w:cs="Arial" w:eastAsia="Arial" w:hAnsi="Arial"/>
          <w:sz w:val="19"/>
          <w:szCs w:val="19"/>
          <w:color w:val="auto"/>
        </w:rPr>
        <w:t>3.2 As soon as administratively practicable following completion of the Performance Period, the Committee will review and certify in writing (a) whether, and to what extent, the Performance Goals for the Performance Period have been achieved, and (b) the number of Performance Shares that the Participant shall earn, if any,</w:t>
      </w:r>
    </w:p>
    <w:p>
      <w:pPr>
        <w:spacing w:after="0" w:line="332" w:lineRule="exact"/>
        <w:rPr>
          <w:sz w:val="20"/>
          <w:szCs w:val="20"/>
          <w:color w:val="auto"/>
        </w:rPr>
      </w:pPr>
    </w:p>
    <w:p>
      <w:pPr>
        <w:ind w:left="3780"/>
        <w:spacing w:after="0"/>
        <w:rPr>
          <w:sz w:val="20"/>
          <w:szCs w:val="20"/>
          <w:color w:val="auto"/>
        </w:rPr>
      </w:pPr>
      <w:r>
        <w:rPr>
          <w:rFonts w:ascii="Arial" w:cs="Arial" w:eastAsia="Arial" w:hAnsi="Arial"/>
          <w:sz w:val="22"/>
          <w:szCs w:val="22"/>
          <w:color w:val="auto"/>
        </w:rPr>
        <w:t>Page 1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504190</wp:posOffset>
            </wp:positionV>
            <wp:extent cx="504063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8">
                      <a:extLst>
                        <a:ext uri="{28A0092B-C50C-407E-A947-70E740481C1C}"/>
                      </a:extLst>
                    </a:blip>
                    <a:srcRect/>
                    <a:stretch>
                      <a:fillRect/>
                    </a:stretch>
                  </pic:blipFill>
                  <pic:spPr bwMode="auto">
                    <a:xfrm>
                      <a:off x="0" y="0"/>
                      <a:ext cx="504063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18" w:name="page119"/>
    <w:bookmarkEnd w:id="118"/>
    <w:p>
      <w:pPr>
        <w:jc w:val="center"/>
        <w:spacing w:after="0"/>
        <w:rPr>
          <w:sz w:val="20"/>
          <w:szCs w:val="20"/>
          <w:color w:val="auto"/>
        </w:rPr>
      </w:pPr>
      <w:r>
        <w:rPr>
          <w:rFonts w:ascii="Arial" w:cs="Arial" w:eastAsia="Arial" w:hAnsi="Arial"/>
          <w:sz w:val="22"/>
          <w:szCs w:val="22"/>
          <w:b w:val="1"/>
          <w:bCs w:val="1"/>
          <w:color w:val="auto"/>
        </w:rPr>
        <w:t>Evolution Petroleum Corporation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Share Unit Award Agreement</w:t>
      </w:r>
    </w:p>
    <w:p>
      <w:pPr>
        <w:spacing w:after="0" w:line="212" w:lineRule="exact"/>
        <w:rPr>
          <w:sz w:val="20"/>
          <w:szCs w:val="20"/>
          <w:color w:val="auto"/>
        </w:rPr>
      </w:pPr>
    </w:p>
    <w:p>
      <w:pPr>
        <w:ind w:left="940" w:right="539"/>
        <w:spacing w:after="0" w:line="328" w:lineRule="auto"/>
        <w:rPr>
          <w:sz w:val="20"/>
          <w:szCs w:val="20"/>
          <w:color w:val="auto"/>
        </w:rPr>
      </w:pPr>
      <w:r>
        <w:rPr>
          <w:rFonts w:ascii="Arial" w:cs="Arial" w:eastAsia="Arial" w:hAnsi="Arial"/>
          <w:sz w:val="19"/>
          <w:szCs w:val="19"/>
          <w:color w:val="auto"/>
        </w:rPr>
        <w:t>subject to Section 4. Such certification shall be final, conclusive and binding on the Participant, and on all other persons, to the maximum extent permitted by law.</w:t>
      </w:r>
    </w:p>
    <w:p>
      <w:pPr>
        <w:spacing w:after="0" w:line="105" w:lineRule="exact"/>
        <w:rPr>
          <w:sz w:val="20"/>
          <w:szCs w:val="20"/>
          <w:color w:val="auto"/>
        </w:rPr>
      </w:pPr>
    </w:p>
    <w:p>
      <w:pPr>
        <w:jc w:val="both"/>
        <w:ind w:left="540" w:right="539" w:firstLine="402"/>
        <w:spacing w:after="0" w:line="245" w:lineRule="auto"/>
        <w:tabs>
          <w:tab w:leader="none" w:pos="1431" w:val="left"/>
        </w:tabs>
        <w:numPr>
          <w:ilvl w:val="0"/>
          <w:numId w:val="64"/>
        </w:numPr>
        <w:rPr>
          <w:rFonts w:ascii="Arial" w:cs="Arial" w:eastAsia="Arial" w:hAnsi="Arial"/>
          <w:sz w:val="21"/>
          <w:szCs w:val="21"/>
          <w:color w:val="auto"/>
        </w:rPr>
      </w:pPr>
      <w:r>
        <w:rPr>
          <w:rFonts w:ascii="Arial" w:cs="Arial" w:eastAsia="Arial" w:hAnsi="Arial"/>
          <w:sz w:val="21"/>
          <w:szCs w:val="21"/>
          <w:u w:val="single" w:color="auto"/>
          <w:color w:val="auto"/>
        </w:rPr>
        <w:t>Vesting of PSUs</w:t>
      </w:r>
      <w:r>
        <w:rPr>
          <w:rFonts w:ascii="Arial" w:cs="Arial" w:eastAsia="Arial" w:hAnsi="Arial"/>
          <w:sz w:val="21"/>
          <w:szCs w:val="21"/>
          <w:color w:val="auto"/>
        </w:rPr>
        <w:t>. The PSUs are subject to forfeiture until they vest. Except as otherwise provided herein (including Section 24), the PSUs will vest and become nonforfeitable on the last day of the Performance Period, subject to (a) the achievement of the minimum threshold Performance Goals for payout set forth in Exhibit I attached hereto, and (b) the Participant's Continuous Service from the Grant Date through the last day of the Performance Period. The number of Performance Shares that become payable under this Agreement pursuant to the PSUs shall be determined by the Committee based on the level of achievement of the Performance Goals set forth in Exhibit I and shall be rounded to the nearest whole share.</w:t>
      </w:r>
    </w:p>
    <w:p>
      <w:pPr>
        <w:spacing w:after="0" w:line="184" w:lineRule="exact"/>
        <w:rPr>
          <w:rFonts w:ascii="Arial" w:cs="Arial" w:eastAsia="Arial" w:hAnsi="Arial"/>
          <w:sz w:val="21"/>
          <w:szCs w:val="21"/>
          <w:color w:val="auto"/>
        </w:rPr>
      </w:pPr>
    </w:p>
    <w:p>
      <w:pPr>
        <w:jc w:val="both"/>
        <w:ind w:left="540" w:right="559" w:firstLine="402"/>
        <w:spacing w:after="0" w:line="235" w:lineRule="auto"/>
        <w:tabs>
          <w:tab w:leader="none" w:pos="1431"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Termination of Continuous Service</w:t>
      </w:r>
      <w:r>
        <w:rPr>
          <w:rFonts w:ascii="Arial" w:cs="Arial" w:eastAsia="Arial" w:hAnsi="Arial"/>
          <w:sz w:val="22"/>
          <w:szCs w:val="22"/>
          <w:color w:val="auto"/>
        </w:rPr>
        <w:t>. Except as otherwise expressly provided in Section 6 of this Agreement, if the Participant's Continuous Service terminates for any reason at any time before all of his or her PSUs have vested, the Participant's unvested PSUs shall be automatically forfeited upon such termination of Continuous Service and neither the Company nor any Affiliate shall have any further obligations to the Participant under this Agreement.</w:t>
      </w:r>
    </w:p>
    <w:p>
      <w:pPr>
        <w:spacing w:after="0" w:line="187" w:lineRule="exact"/>
        <w:rPr>
          <w:rFonts w:ascii="Arial" w:cs="Arial" w:eastAsia="Arial" w:hAnsi="Arial"/>
          <w:sz w:val="22"/>
          <w:szCs w:val="22"/>
          <w:color w:val="auto"/>
        </w:rPr>
      </w:pPr>
    </w:p>
    <w:p>
      <w:pPr>
        <w:jc w:val="both"/>
        <w:ind w:left="540" w:right="539" w:firstLine="402"/>
        <w:spacing w:after="0" w:line="282" w:lineRule="auto"/>
        <w:tabs>
          <w:tab w:leader="none" w:pos="1431"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Effect of a Change in Control</w:t>
      </w:r>
      <w:r>
        <w:rPr>
          <w:rFonts w:ascii="Arial" w:cs="Arial" w:eastAsia="Arial" w:hAnsi="Arial"/>
          <w:sz w:val="19"/>
          <w:szCs w:val="19"/>
          <w:color w:val="auto"/>
        </w:rPr>
        <w:t xml:space="preserve">. Notwithstanding the vesting requirement in Section 4, if a Change in Control Event occurs as defined in the </w:t>
      </w:r>
      <w:r>
        <w:rPr>
          <w:rFonts w:ascii="Arial" w:cs="Arial" w:eastAsia="Arial" w:hAnsi="Arial"/>
          <w:sz w:val="19"/>
          <w:szCs w:val="19"/>
          <w:i w:val="1"/>
          <w:iCs w:val="1"/>
          <w:color w:val="auto"/>
        </w:rPr>
        <w:t>Evolution Petroleum</w:t>
      </w:r>
      <w:r>
        <w:rPr>
          <w:rFonts w:ascii="Arial" w:cs="Arial" w:eastAsia="Arial" w:hAnsi="Arial"/>
          <w:sz w:val="19"/>
          <w:szCs w:val="19"/>
          <w:color w:val="auto"/>
        </w:rPr>
        <w:t xml:space="preserve"> </w:t>
      </w:r>
      <w:r>
        <w:rPr>
          <w:rFonts w:ascii="Arial" w:cs="Arial" w:eastAsia="Arial" w:hAnsi="Arial"/>
          <w:sz w:val="19"/>
          <w:szCs w:val="19"/>
          <w:i w:val="1"/>
          <w:iCs w:val="1"/>
          <w:color w:val="auto"/>
        </w:rPr>
        <w:t>Corporation Severance Policy for Change in Control Events</w:t>
      </w:r>
      <w:r>
        <w:rPr>
          <w:rFonts w:ascii="Arial" w:cs="Arial" w:eastAsia="Arial" w:hAnsi="Arial"/>
          <w:sz w:val="19"/>
          <w:szCs w:val="19"/>
          <w:color w:val="auto"/>
        </w:rPr>
        <w:t>, as adopted August 11, 2010,</w:t>
      </w:r>
      <w:r>
        <w:rPr>
          <w:rFonts w:ascii="Arial" w:cs="Arial" w:eastAsia="Arial" w:hAnsi="Arial"/>
          <w:sz w:val="19"/>
          <w:szCs w:val="19"/>
          <w:i w:val="1"/>
          <w:iCs w:val="1"/>
          <w:color w:val="auto"/>
        </w:rPr>
        <w:t xml:space="preserve"> </w:t>
      </w:r>
      <w:r>
        <w:rPr>
          <w:rFonts w:ascii="Arial" w:cs="Arial" w:eastAsia="Arial" w:hAnsi="Arial"/>
          <w:sz w:val="19"/>
          <w:szCs w:val="19"/>
          <w:color w:val="auto"/>
        </w:rPr>
        <w:t>as it may be amended from time to time after the date hereof (as amended, the “CIC Policy”), then vesting shall occur in accordance with the CIC Policy then in effect.</w:t>
      </w:r>
    </w:p>
    <w:p>
      <w:pPr>
        <w:spacing w:after="0" w:line="147" w:lineRule="exact"/>
        <w:rPr>
          <w:rFonts w:ascii="Arial" w:cs="Arial" w:eastAsia="Arial" w:hAnsi="Arial"/>
          <w:sz w:val="19"/>
          <w:szCs w:val="19"/>
          <w:color w:val="auto"/>
        </w:rPr>
      </w:pPr>
    </w:p>
    <w:p>
      <w:pPr>
        <w:jc w:val="both"/>
        <w:ind w:left="540" w:right="539" w:firstLine="402"/>
        <w:spacing w:after="0" w:line="279" w:lineRule="auto"/>
        <w:tabs>
          <w:tab w:leader="none" w:pos="1431"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Subject to any exceptions set forth in this Agreement or the Plan, the PSUs or the rights relating thereto may not be assigned, alienated, pledged, attached, sold or otherwise transferred or encumbered by the Participant, except by will or the laws of descent and distribution, and upon any such transfer by will or the laws of descent and distribution, the transferee shall hold such PSUs subject to all of the terms and conditions that were applicable to the Participant immediately prior to such transfer.</w:t>
      </w:r>
    </w:p>
    <w:p>
      <w:pPr>
        <w:spacing w:after="0" w:line="150" w:lineRule="exact"/>
        <w:rPr>
          <w:rFonts w:ascii="Arial" w:cs="Arial" w:eastAsia="Arial" w:hAnsi="Arial"/>
          <w:sz w:val="19"/>
          <w:szCs w:val="19"/>
          <w:color w:val="auto"/>
        </w:rPr>
      </w:pPr>
    </w:p>
    <w:p>
      <w:pPr>
        <w:ind w:left="1420" w:hanging="482"/>
        <w:spacing w:after="0"/>
        <w:tabs>
          <w:tab w:leader="none" w:pos="1420"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Rights as Shareholder; Dividend Equivalents</w:t>
      </w:r>
      <w:r>
        <w:rPr>
          <w:rFonts w:ascii="Arial" w:cs="Arial" w:eastAsia="Arial" w:hAnsi="Arial"/>
          <w:sz w:val="22"/>
          <w:szCs w:val="22"/>
          <w:color w:val="auto"/>
        </w:rPr>
        <w:t>.</w:t>
      </w:r>
    </w:p>
    <w:p>
      <w:pPr>
        <w:spacing w:after="0" w:line="233" w:lineRule="exact"/>
        <w:rPr>
          <w:sz w:val="20"/>
          <w:szCs w:val="20"/>
          <w:color w:val="auto"/>
        </w:rPr>
      </w:pPr>
    </w:p>
    <w:p>
      <w:pPr>
        <w:jc w:val="both"/>
        <w:ind w:left="940" w:right="559" w:firstLine="486"/>
        <w:spacing w:after="0" w:line="238" w:lineRule="auto"/>
        <w:rPr>
          <w:sz w:val="20"/>
          <w:szCs w:val="20"/>
          <w:color w:val="auto"/>
        </w:rPr>
      </w:pPr>
      <w:r>
        <w:rPr>
          <w:rFonts w:ascii="Arial" w:cs="Arial" w:eastAsia="Arial" w:hAnsi="Arial"/>
          <w:sz w:val="22"/>
          <w:szCs w:val="22"/>
          <w:color w:val="auto"/>
        </w:rPr>
        <w:t>8.1 Except as otherwise provided herein, the Participant shall not have any rights of a shareholder with respect to the PSUs, including, but not limited to, voting rights, liquidation rights and the right to receive or accrue dividends or dividend equivalents.</w:t>
      </w:r>
    </w:p>
    <w:p>
      <w:pPr>
        <w:spacing w:after="0" w:line="185" w:lineRule="exact"/>
        <w:rPr>
          <w:sz w:val="20"/>
          <w:szCs w:val="20"/>
          <w:color w:val="auto"/>
        </w:rPr>
      </w:pPr>
    </w:p>
    <w:p>
      <w:pPr>
        <w:jc w:val="both"/>
        <w:ind w:left="940" w:right="559" w:firstLine="486"/>
        <w:spacing w:after="0" w:line="297" w:lineRule="auto"/>
        <w:rPr>
          <w:sz w:val="20"/>
          <w:szCs w:val="20"/>
          <w:color w:val="auto"/>
        </w:rPr>
      </w:pPr>
      <w:r>
        <w:rPr>
          <w:rFonts w:ascii="Arial" w:cs="Arial" w:eastAsia="Arial" w:hAnsi="Arial"/>
          <w:sz w:val="19"/>
          <w:szCs w:val="19"/>
          <w:color w:val="auto"/>
        </w:rPr>
        <w:t>8.2 Upon and following the vesting of the PSUs and issuance of the Performance Shares, the Participant shall be the record owner of the shares of Common Stock underlying the PSUs unless and until such shares are sold or otherwise</w:t>
      </w:r>
    </w:p>
    <w:p>
      <w:pPr>
        <w:spacing w:after="0" w:line="336" w:lineRule="exact"/>
        <w:rPr>
          <w:sz w:val="20"/>
          <w:szCs w:val="20"/>
          <w:color w:val="auto"/>
        </w:rPr>
      </w:pPr>
    </w:p>
    <w:p>
      <w:pPr>
        <w:ind w:left="3780"/>
        <w:spacing w:after="0"/>
        <w:rPr>
          <w:sz w:val="20"/>
          <w:szCs w:val="20"/>
          <w:color w:val="auto"/>
        </w:rPr>
      </w:pPr>
      <w:r>
        <w:rPr>
          <w:rFonts w:ascii="Arial" w:cs="Arial" w:eastAsia="Arial" w:hAnsi="Arial"/>
          <w:sz w:val="22"/>
          <w:szCs w:val="22"/>
          <w:color w:val="auto"/>
        </w:rPr>
        <w:t>Page 2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495935</wp:posOffset>
            </wp:positionV>
            <wp:extent cx="504063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9">
                      <a:extLst>
                        <a:ext uri="{28A0092B-C50C-407E-A947-70E740481C1C}"/>
                      </a:extLst>
                    </a:blip>
                    <a:srcRect/>
                    <a:stretch>
                      <a:fillRect/>
                    </a:stretch>
                  </pic:blipFill>
                  <pic:spPr bwMode="auto">
                    <a:xfrm>
                      <a:off x="0" y="0"/>
                      <a:ext cx="5040630" cy="25400"/>
                    </a:xfrm>
                    <a:prstGeom prst="rect">
                      <a:avLst/>
                    </a:prstGeom>
                    <a:noFill/>
                  </pic:spPr>
                </pic:pic>
              </a:graphicData>
            </a:graphic>
          </wp:anchor>
        </w:drawing>
      </w:r>
    </w:p>
    <w:p>
      <w:pPr>
        <w:sectPr>
          <w:pgSz w:w="11900" w:h="16838" w:orient="portrait"/>
          <w:cols w:equalWidth="0" w:num="1">
            <w:col w:w="9019"/>
          </w:cols>
          <w:pgMar w:left="1440" w:top="666" w:right="1440" w:bottom="1440" w:gutter="0" w:footer="0" w:header="0"/>
        </w:sectPr>
      </w:pPr>
    </w:p>
    <w:bookmarkStart w:id="119" w:name="page120"/>
    <w:bookmarkEnd w:id="119"/>
    <w:p>
      <w:pPr>
        <w:jc w:val="center"/>
        <w:spacing w:after="0"/>
        <w:rPr>
          <w:sz w:val="20"/>
          <w:szCs w:val="20"/>
          <w:color w:val="auto"/>
        </w:rPr>
      </w:pPr>
      <w:r>
        <w:rPr>
          <w:rFonts w:ascii="Arial" w:cs="Arial" w:eastAsia="Arial" w:hAnsi="Arial"/>
          <w:sz w:val="22"/>
          <w:szCs w:val="22"/>
          <w:b w:val="1"/>
          <w:bCs w:val="1"/>
          <w:color w:val="auto"/>
        </w:rPr>
        <w:t>Evolution Petroleum Corporation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Share Unit Award Agreement</w:t>
      </w:r>
    </w:p>
    <w:p>
      <w:pPr>
        <w:spacing w:after="0" w:line="212" w:lineRule="exact"/>
        <w:rPr>
          <w:sz w:val="20"/>
          <w:szCs w:val="20"/>
          <w:color w:val="auto"/>
        </w:rPr>
      </w:pPr>
    </w:p>
    <w:p>
      <w:pPr>
        <w:ind w:left="940" w:right="539"/>
        <w:spacing w:after="0" w:line="250" w:lineRule="auto"/>
        <w:rPr>
          <w:sz w:val="20"/>
          <w:szCs w:val="20"/>
          <w:color w:val="auto"/>
        </w:rPr>
      </w:pPr>
      <w:r>
        <w:rPr>
          <w:rFonts w:ascii="Arial" w:cs="Arial" w:eastAsia="Arial" w:hAnsi="Arial"/>
          <w:sz w:val="22"/>
          <w:szCs w:val="22"/>
          <w:color w:val="auto"/>
        </w:rPr>
        <w:t>disposed of, and as record owner shall be entitled to all rights of a shareholder of the Company (including voting and dividend rights).</w:t>
      </w:r>
    </w:p>
    <w:p>
      <w:pPr>
        <w:spacing w:after="0" w:line="175" w:lineRule="exact"/>
        <w:rPr>
          <w:sz w:val="20"/>
          <w:szCs w:val="20"/>
          <w:color w:val="auto"/>
        </w:rPr>
      </w:pPr>
    </w:p>
    <w:p>
      <w:pPr>
        <w:jc w:val="both"/>
        <w:ind w:left="540" w:right="559" w:firstLine="402"/>
        <w:spacing w:after="0" w:line="249" w:lineRule="auto"/>
        <w:tabs>
          <w:tab w:leader="none" w:pos="1431" w:val="left"/>
        </w:tabs>
        <w:numPr>
          <w:ilvl w:val="0"/>
          <w:numId w:val="65"/>
        </w:numPr>
        <w:rPr>
          <w:rFonts w:ascii="Arial" w:cs="Arial" w:eastAsia="Arial" w:hAnsi="Arial"/>
          <w:sz w:val="21"/>
          <w:szCs w:val="21"/>
          <w:color w:val="auto"/>
        </w:rPr>
      </w:pPr>
      <w:r>
        <w:rPr>
          <w:rFonts w:ascii="Arial" w:cs="Arial" w:eastAsia="Arial" w:hAnsi="Arial"/>
          <w:sz w:val="21"/>
          <w:szCs w:val="21"/>
          <w:u w:val="single" w:color="auto"/>
          <w:color w:val="auto"/>
        </w:rPr>
        <w:t>No Right to Continued Service</w:t>
      </w:r>
      <w:r>
        <w:rPr>
          <w:rFonts w:ascii="Arial" w:cs="Arial" w:eastAsia="Arial" w:hAnsi="Arial"/>
          <w:sz w:val="21"/>
          <w:szCs w:val="21"/>
          <w:color w:val="auto"/>
        </w:rPr>
        <w:t>. Neither the Plan nor this Agreement shall confer upon the Participant any right to be retained in any position, as an Employee, Consultant or Director of the Company. Further, nothing in the Plan or this Agreement shall be construed to limit the discretion of the Company to terminate the Participant's Continuous Service at any time, with or without Cause.</w:t>
      </w:r>
    </w:p>
    <w:p>
      <w:pPr>
        <w:spacing w:after="0" w:line="178" w:lineRule="exact"/>
        <w:rPr>
          <w:rFonts w:ascii="Arial" w:cs="Arial" w:eastAsia="Arial" w:hAnsi="Arial"/>
          <w:sz w:val="21"/>
          <w:szCs w:val="21"/>
          <w:color w:val="auto"/>
        </w:rPr>
      </w:pPr>
    </w:p>
    <w:p>
      <w:pPr>
        <w:jc w:val="both"/>
        <w:ind w:left="540" w:right="539" w:firstLine="402"/>
        <w:spacing w:after="0"/>
        <w:tabs>
          <w:tab w:leader="none" w:pos="1431"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Adjustments</w:t>
      </w:r>
      <w:r>
        <w:rPr>
          <w:rFonts w:ascii="Arial" w:cs="Arial" w:eastAsia="Arial" w:hAnsi="Arial"/>
          <w:sz w:val="22"/>
          <w:szCs w:val="22"/>
          <w:color w:val="auto"/>
        </w:rPr>
        <w:t>. If any change is made to the outstanding Common Stock or the capital structure of the Company, if required, the PSUs shall be adjusted or terminated in any manner as contemplated by Section 11 of the Plan.</w:t>
      </w:r>
    </w:p>
    <w:p>
      <w:pPr>
        <w:spacing w:after="0" w:line="186" w:lineRule="exact"/>
        <w:rPr>
          <w:rFonts w:ascii="Arial" w:cs="Arial" w:eastAsia="Arial" w:hAnsi="Arial"/>
          <w:sz w:val="22"/>
          <w:szCs w:val="22"/>
          <w:color w:val="auto"/>
        </w:rPr>
      </w:pPr>
    </w:p>
    <w:p>
      <w:pPr>
        <w:ind w:left="1420" w:hanging="478"/>
        <w:spacing w:after="0"/>
        <w:tabs>
          <w:tab w:leader="none" w:pos="1420"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Tax Liability and Withholding</w:t>
      </w:r>
      <w:r>
        <w:rPr>
          <w:rFonts w:ascii="Arial" w:cs="Arial" w:eastAsia="Arial" w:hAnsi="Arial"/>
          <w:sz w:val="22"/>
          <w:szCs w:val="22"/>
          <w:color w:val="auto"/>
        </w:rPr>
        <w:t>.</w:t>
      </w:r>
    </w:p>
    <w:p>
      <w:pPr>
        <w:spacing w:after="0" w:line="233" w:lineRule="exact"/>
        <w:rPr>
          <w:sz w:val="20"/>
          <w:szCs w:val="20"/>
          <w:color w:val="auto"/>
        </w:rPr>
      </w:pPr>
    </w:p>
    <w:p>
      <w:pPr>
        <w:jc w:val="both"/>
        <w:ind w:left="940" w:right="539" w:firstLine="486"/>
        <w:spacing w:after="0" w:line="277" w:lineRule="auto"/>
        <w:rPr>
          <w:sz w:val="20"/>
          <w:szCs w:val="20"/>
          <w:color w:val="auto"/>
        </w:rPr>
      </w:pPr>
      <w:r>
        <w:rPr>
          <w:rFonts w:ascii="Arial" w:cs="Arial" w:eastAsia="Arial" w:hAnsi="Arial"/>
          <w:sz w:val="19"/>
          <w:szCs w:val="19"/>
          <w:color w:val="auto"/>
        </w:rPr>
        <w:t>11.1 The Participant shall be required to pay to the Company, and the Company shall have the right to deduct from any compensation paid to the Participant pursuant to the Plan, the amount of any required withholding taxes in respect of the PSUs and to take all such other action as the Committee deems necessary to satisfy all obligations for the payment of such withholding taxes. The Committee may permit the Participant to satisfy any federal, state or local tax withholding obligation by any of the following means, or by a combination of such means:</w:t>
      </w:r>
    </w:p>
    <w:p>
      <w:pPr>
        <w:spacing w:after="0" w:line="152" w:lineRule="exact"/>
        <w:rPr>
          <w:sz w:val="20"/>
          <w:szCs w:val="20"/>
          <w:color w:val="auto"/>
        </w:rPr>
      </w:pPr>
    </w:p>
    <w:p>
      <w:pPr>
        <w:ind w:left="2720" w:hanging="644"/>
        <w:spacing w:after="0"/>
        <w:tabs>
          <w:tab w:leader="none" w:pos="2720" w:val="left"/>
        </w:tabs>
        <w:numPr>
          <w:ilvl w:val="0"/>
          <w:numId w:val="66"/>
        </w:numPr>
        <w:rPr>
          <w:rFonts w:ascii="Arial" w:cs="Arial" w:eastAsia="Arial" w:hAnsi="Arial"/>
          <w:sz w:val="22"/>
          <w:szCs w:val="22"/>
          <w:color w:val="auto"/>
        </w:rPr>
      </w:pPr>
      <w:r>
        <w:rPr>
          <w:rFonts w:ascii="Arial" w:cs="Arial" w:eastAsia="Arial" w:hAnsi="Arial"/>
          <w:sz w:val="22"/>
          <w:szCs w:val="22"/>
          <w:color w:val="auto"/>
        </w:rPr>
        <w:t>Tendering a cash payment;</w:t>
      </w:r>
    </w:p>
    <w:p>
      <w:pPr>
        <w:spacing w:after="0" w:line="233" w:lineRule="exact"/>
        <w:rPr>
          <w:rFonts w:ascii="Arial" w:cs="Arial" w:eastAsia="Arial" w:hAnsi="Arial"/>
          <w:sz w:val="22"/>
          <w:szCs w:val="22"/>
          <w:color w:val="auto"/>
        </w:rPr>
      </w:pPr>
    </w:p>
    <w:p>
      <w:pPr>
        <w:jc w:val="both"/>
        <w:ind w:left="1420" w:right="539" w:firstLine="656"/>
        <w:spacing w:after="0" w:line="235" w:lineRule="auto"/>
        <w:tabs>
          <w:tab w:leader="none" w:pos="2716" w:val="left"/>
        </w:tabs>
        <w:numPr>
          <w:ilvl w:val="0"/>
          <w:numId w:val="66"/>
        </w:numPr>
        <w:rPr>
          <w:rFonts w:ascii="Arial" w:cs="Arial" w:eastAsia="Arial" w:hAnsi="Arial"/>
          <w:sz w:val="22"/>
          <w:szCs w:val="22"/>
          <w:color w:val="auto"/>
        </w:rPr>
      </w:pPr>
      <w:r>
        <w:rPr>
          <w:rFonts w:ascii="Arial" w:cs="Arial" w:eastAsia="Arial" w:hAnsi="Arial"/>
          <w:sz w:val="22"/>
          <w:szCs w:val="22"/>
          <w:color w:val="auto"/>
        </w:rPr>
        <w:t>Authorizing the Company to withhold shares of Common Stock from the shares of Common Stock otherwise issuable or deliverable to the Participant as a result of the vesting of the PSUs; provided, however, that no shares of Common Stock shall be withheld with a value exceeding the Participant’s maximum marginal income tax rates, including federal, state and local, as applicable; and</w:t>
      </w:r>
    </w:p>
    <w:p>
      <w:pPr>
        <w:spacing w:after="0" w:line="187" w:lineRule="exact"/>
        <w:rPr>
          <w:rFonts w:ascii="Arial" w:cs="Arial" w:eastAsia="Arial" w:hAnsi="Arial"/>
          <w:sz w:val="22"/>
          <w:szCs w:val="22"/>
          <w:color w:val="auto"/>
        </w:rPr>
      </w:pPr>
    </w:p>
    <w:p>
      <w:pPr>
        <w:ind w:left="1420" w:right="559" w:firstLine="656"/>
        <w:spacing w:after="0" w:line="250" w:lineRule="auto"/>
        <w:tabs>
          <w:tab w:leader="none" w:pos="2716" w:val="left"/>
        </w:tabs>
        <w:numPr>
          <w:ilvl w:val="0"/>
          <w:numId w:val="66"/>
        </w:numPr>
        <w:rPr>
          <w:rFonts w:ascii="Arial" w:cs="Arial" w:eastAsia="Arial" w:hAnsi="Arial"/>
          <w:sz w:val="22"/>
          <w:szCs w:val="22"/>
          <w:color w:val="auto"/>
        </w:rPr>
      </w:pPr>
      <w:r>
        <w:rPr>
          <w:rFonts w:ascii="Arial" w:cs="Arial" w:eastAsia="Arial" w:hAnsi="Arial"/>
          <w:sz w:val="22"/>
          <w:szCs w:val="22"/>
          <w:color w:val="auto"/>
        </w:rPr>
        <w:t>Delivering to the Company previously owned and unencumbered shares of Common Stock.</w:t>
      </w:r>
    </w:p>
    <w:p>
      <w:pPr>
        <w:spacing w:after="0" w:line="175" w:lineRule="exact"/>
        <w:rPr>
          <w:sz w:val="20"/>
          <w:szCs w:val="20"/>
          <w:color w:val="auto"/>
        </w:rPr>
      </w:pPr>
    </w:p>
    <w:p>
      <w:pPr>
        <w:jc w:val="both"/>
        <w:ind w:left="940" w:right="539" w:firstLine="486"/>
        <w:spacing w:after="0" w:line="246" w:lineRule="auto"/>
        <w:rPr>
          <w:sz w:val="20"/>
          <w:szCs w:val="20"/>
          <w:color w:val="auto"/>
        </w:rPr>
      </w:pPr>
      <w:r>
        <w:rPr>
          <w:rFonts w:ascii="Arial" w:cs="Arial" w:eastAsia="Arial" w:hAnsi="Arial"/>
          <w:sz w:val="21"/>
          <w:szCs w:val="21"/>
          <w:color w:val="auto"/>
        </w:rPr>
        <w:t>11.2 Notwithstanding any action the Company takes with respect to any or all income tax, social insurance, payroll tax, or other tax-related withholding ("</w:t>
      </w:r>
      <w:r>
        <w:rPr>
          <w:rFonts w:ascii="Arial" w:cs="Arial" w:eastAsia="Arial" w:hAnsi="Arial"/>
          <w:sz w:val="21"/>
          <w:szCs w:val="21"/>
          <w:b w:val="1"/>
          <w:bCs w:val="1"/>
          <w:color w:val="auto"/>
        </w:rPr>
        <w:t>Tax-Related Items</w:t>
      </w:r>
      <w:r>
        <w:rPr>
          <w:rFonts w:ascii="Arial" w:cs="Arial" w:eastAsia="Arial" w:hAnsi="Arial"/>
          <w:sz w:val="21"/>
          <w:szCs w:val="21"/>
          <w:color w:val="auto"/>
        </w:rPr>
        <w:t>"), the ultimate liability for all Tax-Related Items is and remains the</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Participant's responsibility and the Company (a) makes no representation or undertakings regarding the treatment of any Tax-Related Items in connection with the grant, vesting or settlement of the PSUs or the subsequent sale of any shares, and (b) does not commit to structure the PSUs to reduce or eliminate the Participant's liability for Tax-Related Items.</w:t>
      </w:r>
    </w:p>
    <w:p>
      <w:pPr>
        <w:spacing w:after="0" w:line="382" w:lineRule="exact"/>
        <w:rPr>
          <w:sz w:val="20"/>
          <w:szCs w:val="20"/>
          <w:color w:val="auto"/>
        </w:rPr>
      </w:pPr>
    </w:p>
    <w:p>
      <w:pPr>
        <w:ind w:left="3780"/>
        <w:spacing w:after="0"/>
        <w:rPr>
          <w:sz w:val="20"/>
          <w:szCs w:val="20"/>
          <w:color w:val="auto"/>
        </w:rPr>
      </w:pPr>
      <w:r>
        <w:rPr>
          <w:rFonts w:ascii="Arial" w:cs="Arial" w:eastAsia="Arial" w:hAnsi="Arial"/>
          <w:sz w:val="22"/>
          <w:szCs w:val="22"/>
          <w:color w:val="auto"/>
        </w:rPr>
        <w:t>Page 3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495935</wp:posOffset>
            </wp:positionV>
            <wp:extent cx="504063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0">
                      <a:extLst>
                        <a:ext uri="{28A0092B-C50C-407E-A947-70E740481C1C}"/>
                      </a:extLst>
                    </a:blip>
                    <a:srcRect/>
                    <a:stretch>
                      <a:fillRect/>
                    </a:stretch>
                  </pic:blipFill>
                  <pic:spPr bwMode="auto">
                    <a:xfrm>
                      <a:off x="0" y="0"/>
                      <a:ext cx="5040630" cy="25400"/>
                    </a:xfrm>
                    <a:prstGeom prst="rect">
                      <a:avLst/>
                    </a:prstGeom>
                    <a:noFill/>
                  </pic:spPr>
                </pic:pic>
              </a:graphicData>
            </a:graphic>
          </wp:anchor>
        </w:drawing>
      </w:r>
    </w:p>
    <w:p>
      <w:pPr>
        <w:sectPr>
          <w:pgSz w:w="11900" w:h="16838" w:orient="portrait"/>
          <w:cols w:equalWidth="0" w:num="1">
            <w:col w:w="9019"/>
          </w:cols>
          <w:pgMar w:left="1440" w:top="666" w:right="1440" w:bottom="1440" w:gutter="0" w:footer="0" w:header="0"/>
        </w:sectPr>
      </w:pPr>
    </w:p>
    <w:bookmarkStart w:id="120" w:name="page121"/>
    <w:bookmarkEnd w:id="120"/>
    <w:p>
      <w:pPr>
        <w:jc w:val="center"/>
        <w:spacing w:after="0"/>
        <w:rPr>
          <w:sz w:val="20"/>
          <w:szCs w:val="20"/>
          <w:color w:val="auto"/>
        </w:rPr>
      </w:pPr>
      <w:r>
        <w:rPr>
          <w:rFonts w:ascii="Arial" w:cs="Arial" w:eastAsia="Arial" w:hAnsi="Arial"/>
          <w:sz w:val="22"/>
          <w:szCs w:val="22"/>
          <w:b w:val="1"/>
          <w:bCs w:val="1"/>
          <w:color w:val="auto"/>
        </w:rPr>
        <w:t>Evolution Petroleum Corporation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Share Unit Award Agreement</w:t>
      </w:r>
    </w:p>
    <w:p>
      <w:pPr>
        <w:spacing w:after="0" w:line="212" w:lineRule="exact"/>
        <w:rPr>
          <w:sz w:val="20"/>
          <w:szCs w:val="20"/>
          <w:color w:val="auto"/>
        </w:rPr>
      </w:pPr>
    </w:p>
    <w:p>
      <w:pPr>
        <w:jc w:val="both"/>
        <w:ind w:left="540" w:right="539" w:firstLine="402"/>
        <w:spacing w:after="0" w:line="277" w:lineRule="auto"/>
        <w:tabs>
          <w:tab w:leader="none" w:pos="1431"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Compliance with Law</w:t>
      </w:r>
      <w:r>
        <w:rPr>
          <w:rFonts w:ascii="Arial" w:cs="Arial" w:eastAsia="Arial" w:hAnsi="Arial"/>
          <w:sz w:val="19"/>
          <w:szCs w:val="19"/>
          <w:color w:val="auto"/>
        </w:rPr>
        <w:t>. The issuance and transfer of shares of Common Stock in connection with the PSUs shall be subject to compliance by the Company and the Participant with all applicable requirements of federal and state securities laws and with all applicable requirements of any stock exchange on which the Company’s shares of Common Stock may be listed. No shares of Common Stock shall be issued or transferred unless and until any then applicable requirements of state and federal laws and regulatory agencies have been fully complied with to the satisfaction of the Company and its counsel.</w:t>
      </w:r>
    </w:p>
    <w:p>
      <w:pPr>
        <w:spacing w:after="0" w:line="151" w:lineRule="exact"/>
        <w:rPr>
          <w:rFonts w:ascii="Arial" w:cs="Arial" w:eastAsia="Arial" w:hAnsi="Arial"/>
          <w:sz w:val="19"/>
          <w:szCs w:val="19"/>
          <w:color w:val="auto"/>
        </w:rPr>
      </w:pPr>
    </w:p>
    <w:p>
      <w:pPr>
        <w:jc w:val="both"/>
        <w:ind w:left="540" w:right="539" w:firstLine="402"/>
        <w:spacing w:after="0" w:line="279" w:lineRule="auto"/>
        <w:tabs>
          <w:tab w:leader="none" w:pos="1431"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 required to be delivered to the Company under this Agreement shall be in writing and addressed to the Company at the Company's principal corporate offices. Any notice required to be delivered to the Participant under this Agreement shall be in writing and addressed to the Participant at the Participant's address as shown in the records of the Company. Either party may designate another address in writing (or by such other method approved by the Company) from time to time.</w:t>
      </w:r>
    </w:p>
    <w:p>
      <w:pPr>
        <w:spacing w:after="0" w:line="150" w:lineRule="exact"/>
        <w:rPr>
          <w:rFonts w:ascii="Arial" w:cs="Arial" w:eastAsia="Arial" w:hAnsi="Arial"/>
          <w:sz w:val="19"/>
          <w:szCs w:val="19"/>
          <w:color w:val="auto"/>
        </w:rPr>
      </w:pPr>
    </w:p>
    <w:p>
      <w:pPr>
        <w:ind w:left="540" w:right="559" w:firstLine="402"/>
        <w:spacing w:after="0" w:line="328" w:lineRule="auto"/>
        <w:tabs>
          <w:tab w:leader="none" w:pos="1431"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will be construed and interpreted in accordance with the laws of the State of Nevada without regard to conflict of law principles.</w:t>
      </w:r>
    </w:p>
    <w:p>
      <w:pPr>
        <w:spacing w:after="0" w:line="104" w:lineRule="exact"/>
        <w:rPr>
          <w:rFonts w:ascii="Arial" w:cs="Arial" w:eastAsia="Arial" w:hAnsi="Arial"/>
          <w:sz w:val="19"/>
          <w:szCs w:val="19"/>
          <w:color w:val="auto"/>
        </w:rPr>
      </w:pPr>
    </w:p>
    <w:p>
      <w:pPr>
        <w:jc w:val="both"/>
        <w:ind w:left="540" w:right="559" w:firstLine="402"/>
        <w:spacing w:after="0" w:line="238" w:lineRule="auto"/>
        <w:tabs>
          <w:tab w:leader="none" w:pos="1431"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Interpretation</w:t>
      </w:r>
      <w:r>
        <w:rPr>
          <w:rFonts w:ascii="Arial" w:cs="Arial" w:eastAsia="Arial" w:hAnsi="Arial"/>
          <w:sz w:val="22"/>
          <w:szCs w:val="22"/>
          <w:color w:val="auto"/>
        </w:rPr>
        <w:t>. Any dispute regarding the interpretation of this Agreement shall be submitted by the Participant or the Company to the Committee for review. The resolution of such dispute by the Committee shall be final and binding on the Participant and the Company.</w:t>
      </w:r>
    </w:p>
    <w:p>
      <w:pPr>
        <w:spacing w:after="0" w:line="184" w:lineRule="exact"/>
        <w:rPr>
          <w:rFonts w:ascii="Arial" w:cs="Arial" w:eastAsia="Arial" w:hAnsi="Arial"/>
          <w:sz w:val="22"/>
          <w:szCs w:val="22"/>
          <w:color w:val="auto"/>
        </w:rPr>
      </w:pPr>
    </w:p>
    <w:p>
      <w:pPr>
        <w:jc w:val="both"/>
        <w:ind w:left="540" w:right="559" w:firstLine="402"/>
        <w:spacing w:after="0" w:line="249" w:lineRule="auto"/>
        <w:tabs>
          <w:tab w:leader="none" w:pos="1431" w:val="left"/>
        </w:tabs>
        <w:numPr>
          <w:ilvl w:val="0"/>
          <w:numId w:val="67"/>
        </w:numPr>
        <w:rPr>
          <w:rFonts w:ascii="Arial" w:cs="Arial" w:eastAsia="Arial" w:hAnsi="Arial"/>
          <w:sz w:val="21"/>
          <w:szCs w:val="21"/>
          <w:color w:val="auto"/>
        </w:rPr>
      </w:pPr>
      <w:r>
        <w:rPr>
          <w:rFonts w:ascii="Arial" w:cs="Arial" w:eastAsia="Arial" w:hAnsi="Arial"/>
          <w:sz w:val="21"/>
          <w:szCs w:val="21"/>
          <w:u w:val="single" w:color="auto"/>
          <w:color w:val="auto"/>
        </w:rPr>
        <w:t>PSUs Subject to Plan</w:t>
      </w:r>
      <w:r>
        <w:rPr>
          <w:rFonts w:ascii="Arial" w:cs="Arial" w:eastAsia="Arial" w:hAnsi="Arial"/>
          <w:sz w:val="21"/>
          <w:szCs w:val="21"/>
          <w:color w:val="auto"/>
        </w:rPr>
        <w:t>. This Agreement is subject to the Plan as approved by the Company’s shareholders.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w:t>
      </w:r>
    </w:p>
    <w:p>
      <w:pPr>
        <w:spacing w:after="0" w:line="178" w:lineRule="exact"/>
        <w:rPr>
          <w:rFonts w:ascii="Arial" w:cs="Arial" w:eastAsia="Arial" w:hAnsi="Arial"/>
          <w:sz w:val="21"/>
          <w:szCs w:val="21"/>
          <w:color w:val="auto"/>
        </w:rPr>
      </w:pPr>
    </w:p>
    <w:p>
      <w:pPr>
        <w:jc w:val="both"/>
        <w:ind w:left="540" w:right="539" w:firstLine="402"/>
        <w:spacing w:after="0" w:line="235" w:lineRule="auto"/>
        <w:tabs>
          <w:tab w:leader="none" w:pos="1431"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The Company may assign any of its rights under this Agreement. This Agreement will be binding upon and inure to the benefit of the successors and assigns of the Company. Subject to the restrictions on transfer set forth herein, this Agreement will be binding upon the Participant and the Participant's beneficiaries, executors, administrators and the person(s) to whom the PSUs may be transferred by will or the laws of descent or distribution.</w:t>
      </w:r>
    </w:p>
    <w:p>
      <w:pPr>
        <w:spacing w:after="0" w:line="187" w:lineRule="exact"/>
        <w:rPr>
          <w:rFonts w:ascii="Arial" w:cs="Arial" w:eastAsia="Arial" w:hAnsi="Arial"/>
          <w:sz w:val="22"/>
          <w:szCs w:val="22"/>
          <w:color w:val="auto"/>
        </w:rPr>
      </w:pPr>
    </w:p>
    <w:p>
      <w:pPr>
        <w:jc w:val="both"/>
        <w:ind w:left="540" w:right="539" w:firstLine="402"/>
        <w:spacing w:after="0" w:line="238" w:lineRule="auto"/>
        <w:tabs>
          <w:tab w:leader="none" w:pos="1431"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p>
    <w:p>
      <w:pPr>
        <w:spacing w:after="0" w:line="184" w:lineRule="exact"/>
        <w:rPr>
          <w:rFonts w:ascii="Arial" w:cs="Arial" w:eastAsia="Arial" w:hAnsi="Arial"/>
          <w:sz w:val="22"/>
          <w:szCs w:val="22"/>
          <w:color w:val="auto"/>
        </w:rPr>
      </w:pPr>
    </w:p>
    <w:p>
      <w:pPr>
        <w:ind w:left="540" w:right="559" w:firstLine="402"/>
        <w:spacing w:after="0" w:line="328" w:lineRule="auto"/>
        <w:tabs>
          <w:tab w:leader="none" w:pos="1431"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Discretionary Nature of Plan</w:t>
      </w:r>
      <w:r>
        <w:rPr>
          <w:rFonts w:ascii="Arial" w:cs="Arial" w:eastAsia="Arial" w:hAnsi="Arial"/>
          <w:sz w:val="19"/>
          <w:szCs w:val="19"/>
          <w:color w:val="auto"/>
        </w:rPr>
        <w:t>. The Plan is discretionary and may be amended, cancelled or terminated by the Company at any time, in its discretion. The grant of the</w:t>
      </w:r>
    </w:p>
    <w:p>
      <w:pPr>
        <w:spacing w:after="0" w:line="307" w:lineRule="exact"/>
        <w:rPr>
          <w:sz w:val="20"/>
          <w:szCs w:val="20"/>
          <w:color w:val="auto"/>
        </w:rPr>
      </w:pPr>
    </w:p>
    <w:p>
      <w:pPr>
        <w:ind w:left="3780"/>
        <w:spacing w:after="0"/>
        <w:rPr>
          <w:sz w:val="20"/>
          <w:szCs w:val="20"/>
          <w:color w:val="auto"/>
        </w:rPr>
      </w:pPr>
      <w:r>
        <w:rPr>
          <w:rFonts w:ascii="Arial" w:cs="Arial" w:eastAsia="Arial" w:hAnsi="Arial"/>
          <w:sz w:val="22"/>
          <w:szCs w:val="22"/>
          <w:color w:val="auto"/>
        </w:rPr>
        <w:t>Page 4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495935</wp:posOffset>
            </wp:positionV>
            <wp:extent cx="504063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1">
                      <a:extLst>
                        <a:ext uri="{28A0092B-C50C-407E-A947-70E740481C1C}"/>
                      </a:extLst>
                    </a:blip>
                    <a:srcRect/>
                    <a:stretch>
                      <a:fillRect/>
                    </a:stretch>
                  </pic:blipFill>
                  <pic:spPr bwMode="auto">
                    <a:xfrm>
                      <a:off x="0" y="0"/>
                      <a:ext cx="5040630" cy="25400"/>
                    </a:xfrm>
                    <a:prstGeom prst="rect">
                      <a:avLst/>
                    </a:prstGeom>
                    <a:noFill/>
                  </pic:spPr>
                </pic:pic>
              </a:graphicData>
            </a:graphic>
          </wp:anchor>
        </w:drawing>
      </w:r>
    </w:p>
    <w:p>
      <w:pPr>
        <w:sectPr>
          <w:pgSz w:w="11900" w:h="16838" w:orient="portrait"/>
          <w:cols w:equalWidth="0" w:num="1">
            <w:col w:w="9019"/>
          </w:cols>
          <w:pgMar w:left="1440" w:top="666" w:right="1440" w:bottom="1440" w:gutter="0" w:footer="0" w:header="0"/>
        </w:sectPr>
      </w:pPr>
    </w:p>
    <w:bookmarkStart w:id="121" w:name="page122"/>
    <w:bookmarkEnd w:id="121"/>
    <w:p>
      <w:pPr>
        <w:jc w:val="center"/>
        <w:spacing w:after="0"/>
        <w:rPr>
          <w:sz w:val="20"/>
          <w:szCs w:val="20"/>
          <w:color w:val="auto"/>
        </w:rPr>
      </w:pPr>
      <w:r>
        <w:rPr>
          <w:rFonts w:ascii="Arial" w:cs="Arial" w:eastAsia="Arial" w:hAnsi="Arial"/>
          <w:sz w:val="22"/>
          <w:szCs w:val="22"/>
          <w:b w:val="1"/>
          <w:bCs w:val="1"/>
          <w:color w:val="auto"/>
        </w:rPr>
        <w:t>Evolution Petroleum Corporation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Share Unit Award Agreement</w:t>
      </w:r>
    </w:p>
    <w:p>
      <w:pPr>
        <w:spacing w:after="0" w:line="212" w:lineRule="exact"/>
        <w:rPr>
          <w:sz w:val="20"/>
          <w:szCs w:val="20"/>
          <w:color w:val="auto"/>
        </w:rPr>
      </w:pPr>
    </w:p>
    <w:p>
      <w:pPr>
        <w:jc w:val="both"/>
        <w:ind w:left="540" w:right="539"/>
        <w:spacing w:after="0" w:line="236" w:lineRule="auto"/>
        <w:rPr>
          <w:sz w:val="20"/>
          <w:szCs w:val="20"/>
          <w:color w:val="auto"/>
        </w:rPr>
      </w:pPr>
      <w:r>
        <w:rPr>
          <w:rFonts w:ascii="Arial" w:cs="Arial" w:eastAsia="Arial" w:hAnsi="Arial"/>
          <w:sz w:val="22"/>
          <w:szCs w:val="22"/>
          <w:color w:val="auto"/>
        </w:rPr>
        <w:t>PSUs in this Agreement does not create any contractual right or other right to receive any PSUs or other Awards in the future. Future Awards, if any, will be at the sole discretion of the Company. Any amendment, modification, or termination of the Plan shall not constitute a change or impairment of the terms and conditions of the Participant's employment with the Company.</w:t>
      </w:r>
    </w:p>
    <w:p>
      <w:pPr>
        <w:spacing w:after="0" w:line="187" w:lineRule="exact"/>
        <w:rPr>
          <w:sz w:val="20"/>
          <w:szCs w:val="20"/>
          <w:color w:val="auto"/>
        </w:rPr>
      </w:pPr>
    </w:p>
    <w:p>
      <w:pPr>
        <w:jc w:val="both"/>
        <w:ind w:left="540" w:right="539" w:firstLine="402"/>
        <w:spacing w:after="0" w:line="274" w:lineRule="auto"/>
        <w:tabs>
          <w:tab w:leader="none" w:pos="1431"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Amendment</w:t>
      </w:r>
      <w:r>
        <w:rPr>
          <w:rFonts w:ascii="Arial" w:cs="Arial" w:eastAsia="Arial" w:hAnsi="Arial"/>
          <w:sz w:val="19"/>
          <w:szCs w:val="19"/>
          <w:color w:val="auto"/>
        </w:rPr>
        <w:t>. The Committee has the right to amend, alter, suspend, discontinue or cancel the PSUs, prospectively or retroactively; provided, that, no such amendment shall adversely affect the Participant's material rights under this Agreement without the Participant's consent; further provided that the Committee may amend or modify this Agreement to the extent that the Committee determines, in its sole discretion, that the terms and conditions of the Award violate or may violate Code Section 409A; provided that, any such amendment or modification of an Award made pursuant to this Section 20 shall maintain, to the maximum extent practicable, the original intent of the applicable Award provision without contravening the provisions of Code Section 409A.</w:t>
      </w:r>
    </w:p>
    <w:p>
      <w:pPr>
        <w:spacing w:after="0" w:line="158" w:lineRule="exact"/>
        <w:rPr>
          <w:sz w:val="20"/>
          <w:szCs w:val="20"/>
          <w:color w:val="auto"/>
        </w:rPr>
      </w:pPr>
    </w:p>
    <w:p>
      <w:pPr>
        <w:jc w:val="both"/>
        <w:ind w:left="540" w:right="539"/>
        <w:spacing w:after="0" w:line="273" w:lineRule="auto"/>
        <w:rPr>
          <w:sz w:val="20"/>
          <w:szCs w:val="20"/>
          <w:color w:val="auto"/>
        </w:rPr>
      </w:pPr>
      <w:r>
        <w:rPr>
          <w:rFonts w:ascii="Arial" w:cs="Arial" w:eastAsia="Arial" w:hAnsi="Arial"/>
          <w:sz w:val="19"/>
          <w:szCs w:val="19"/>
          <w:color w:val="auto"/>
        </w:rPr>
        <w:t>The amendment or modification of any Award pursuant to this Section 20 shall be at the Committee’s sole discretion and neither the Committee nor the Company shall be obligated to amend or modify any Award or the Plan, nor shall the Company be liable for any adverse tax or other consequences to a Participant resulting from such amendments or modifications or the Committee’s failure to make any such amendments or modifications for purposes of complying with Code Section 409A or for any other purpose. To the extent the Committee amends or modifies an Award pursuant to this Section 20, the Participant shall receive notification of any such changes to his or her Award and, unless the Committee determines otherwise, the changes described in such notification shall be deemed to amend the terms and conditions of the Award and this Agreement.</w:t>
      </w:r>
    </w:p>
    <w:p>
      <w:pPr>
        <w:spacing w:after="0" w:line="161" w:lineRule="exact"/>
        <w:rPr>
          <w:sz w:val="20"/>
          <w:szCs w:val="20"/>
          <w:color w:val="auto"/>
        </w:rPr>
      </w:pPr>
    </w:p>
    <w:p>
      <w:pPr>
        <w:jc w:val="both"/>
        <w:ind w:left="540" w:right="559" w:firstLine="402"/>
        <w:spacing w:after="0" w:line="238" w:lineRule="auto"/>
        <w:tabs>
          <w:tab w:leader="none" w:pos="1431"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Section 162(m)</w:t>
      </w:r>
      <w:r>
        <w:rPr>
          <w:rFonts w:ascii="Arial" w:cs="Arial" w:eastAsia="Arial" w:hAnsi="Arial"/>
          <w:sz w:val="22"/>
          <w:szCs w:val="22"/>
          <w:color w:val="auto"/>
        </w:rPr>
        <w:t>. All payments under this Agreement are intended to constitute "qualified performance-based compensation" within the meaning of Section 162(m) of the Code. This Award shall be construed and administered in a manner consistent with such intent.</w:t>
      </w:r>
    </w:p>
    <w:p>
      <w:pPr>
        <w:spacing w:after="0" w:line="184" w:lineRule="exact"/>
        <w:rPr>
          <w:rFonts w:ascii="Arial" w:cs="Arial" w:eastAsia="Arial" w:hAnsi="Arial"/>
          <w:sz w:val="22"/>
          <w:szCs w:val="22"/>
          <w:color w:val="auto"/>
        </w:rPr>
      </w:pPr>
    </w:p>
    <w:p>
      <w:pPr>
        <w:jc w:val="both"/>
        <w:ind w:left="540" w:right="539" w:firstLine="402"/>
        <w:spacing w:after="0" w:line="244" w:lineRule="auto"/>
        <w:tabs>
          <w:tab w:leader="none" w:pos="1431" w:val="left"/>
        </w:tabs>
        <w:numPr>
          <w:ilvl w:val="0"/>
          <w:numId w:val="69"/>
        </w:numPr>
        <w:rPr>
          <w:rFonts w:ascii="Arial" w:cs="Arial" w:eastAsia="Arial" w:hAnsi="Arial"/>
          <w:sz w:val="21"/>
          <w:szCs w:val="21"/>
          <w:color w:val="auto"/>
        </w:rPr>
      </w:pPr>
      <w:r>
        <w:rPr>
          <w:rFonts w:ascii="Arial" w:cs="Arial" w:eastAsia="Arial" w:hAnsi="Arial"/>
          <w:sz w:val="21"/>
          <w:szCs w:val="21"/>
          <w:u w:val="single" w:color="auto"/>
          <w:color w:val="auto"/>
        </w:rPr>
        <w:t>Section 409A</w:t>
      </w:r>
      <w:r>
        <w:rPr>
          <w:rFonts w:ascii="Arial" w:cs="Arial" w:eastAsia="Arial" w:hAnsi="Arial"/>
          <w:sz w:val="21"/>
          <w:szCs w:val="21"/>
          <w:color w:val="auto"/>
        </w:rPr>
        <w:t>. This Agreement is intended to comply with Code Section 409A or an exemption thereunder and shall be construed and interpreted in a manner that is consistent with the requirements for avoiding additional taxes or penalties under Code Section 409A. Notwithstanding the foregoing, the Company makes no representations that the payments and benefits provided under this Agreement comply with Code Section 409A and in no event shall the Company be liable for all or any portion of any taxes, penalties, interest or other expenses that may be incurred by the Participant on account of non-compliance with Code Section 409A. Additionally, with respect to any Award subject to Code Section 409A, if the Participant is a specified employee at the time of the Participant’s termination, any payment(s) with respect to any Award subject to Code Section 409A to which such Participant would otherwise be entitled by reason of such termination shall be</w:t>
      </w:r>
    </w:p>
    <w:p>
      <w:pPr>
        <w:spacing w:after="0" w:line="388" w:lineRule="exact"/>
        <w:rPr>
          <w:sz w:val="20"/>
          <w:szCs w:val="20"/>
          <w:color w:val="auto"/>
        </w:rPr>
      </w:pPr>
    </w:p>
    <w:p>
      <w:pPr>
        <w:ind w:left="3780"/>
        <w:spacing w:after="0"/>
        <w:rPr>
          <w:sz w:val="20"/>
          <w:szCs w:val="20"/>
          <w:color w:val="auto"/>
        </w:rPr>
      </w:pPr>
      <w:r>
        <w:rPr>
          <w:rFonts w:ascii="Arial" w:cs="Arial" w:eastAsia="Arial" w:hAnsi="Arial"/>
          <w:sz w:val="22"/>
          <w:szCs w:val="22"/>
          <w:color w:val="auto"/>
        </w:rPr>
        <w:t>Page 5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495935</wp:posOffset>
            </wp:positionV>
            <wp:extent cx="504063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2">
                      <a:extLst>
                        <a:ext uri="{28A0092B-C50C-407E-A947-70E740481C1C}"/>
                      </a:extLst>
                    </a:blip>
                    <a:srcRect/>
                    <a:stretch>
                      <a:fillRect/>
                    </a:stretch>
                  </pic:blipFill>
                  <pic:spPr bwMode="auto">
                    <a:xfrm>
                      <a:off x="0" y="0"/>
                      <a:ext cx="5040630" cy="25400"/>
                    </a:xfrm>
                    <a:prstGeom prst="rect">
                      <a:avLst/>
                    </a:prstGeom>
                    <a:noFill/>
                  </pic:spPr>
                </pic:pic>
              </a:graphicData>
            </a:graphic>
          </wp:anchor>
        </w:drawing>
      </w:r>
    </w:p>
    <w:p>
      <w:pPr>
        <w:sectPr>
          <w:pgSz w:w="11900" w:h="16838" w:orient="portrait"/>
          <w:cols w:equalWidth="0" w:num="1">
            <w:col w:w="9019"/>
          </w:cols>
          <w:pgMar w:left="1440" w:top="666" w:right="1440" w:bottom="1440" w:gutter="0" w:footer="0" w:header="0"/>
        </w:sectPr>
      </w:pPr>
    </w:p>
    <w:bookmarkStart w:id="122" w:name="page123"/>
    <w:bookmarkEnd w:id="122"/>
    <w:p>
      <w:pPr>
        <w:jc w:val="center"/>
        <w:spacing w:after="0"/>
        <w:rPr>
          <w:sz w:val="20"/>
          <w:szCs w:val="20"/>
          <w:color w:val="auto"/>
        </w:rPr>
      </w:pPr>
      <w:r>
        <w:rPr>
          <w:rFonts w:ascii="Arial" w:cs="Arial" w:eastAsia="Arial" w:hAnsi="Arial"/>
          <w:sz w:val="22"/>
          <w:szCs w:val="22"/>
          <w:b w:val="1"/>
          <w:bCs w:val="1"/>
          <w:color w:val="auto"/>
        </w:rPr>
        <w:t>Evolution Petroleum Corporation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Share Unit Award Agreement</w:t>
      </w:r>
    </w:p>
    <w:p>
      <w:pPr>
        <w:spacing w:after="0" w:line="212" w:lineRule="exact"/>
        <w:rPr>
          <w:sz w:val="20"/>
          <w:szCs w:val="20"/>
          <w:color w:val="auto"/>
        </w:rPr>
      </w:pPr>
    </w:p>
    <w:p>
      <w:pPr>
        <w:ind w:left="540" w:right="559"/>
        <w:spacing w:after="0" w:line="250" w:lineRule="auto"/>
        <w:rPr>
          <w:sz w:val="20"/>
          <w:szCs w:val="20"/>
          <w:color w:val="auto"/>
        </w:rPr>
      </w:pPr>
      <w:r>
        <w:rPr>
          <w:rFonts w:ascii="Arial" w:cs="Arial" w:eastAsia="Arial" w:hAnsi="Arial"/>
          <w:sz w:val="22"/>
          <w:szCs w:val="22"/>
          <w:color w:val="auto"/>
        </w:rPr>
        <w:t>made no sooner than the date that is the first day of the seventh month after the Participant’s termination (or, if earlier, the date of the Participant’s death).</w:t>
      </w:r>
    </w:p>
    <w:p>
      <w:pPr>
        <w:spacing w:after="0" w:line="175" w:lineRule="exact"/>
        <w:rPr>
          <w:sz w:val="20"/>
          <w:szCs w:val="20"/>
          <w:color w:val="auto"/>
        </w:rPr>
      </w:pPr>
    </w:p>
    <w:p>
      <w:pPr>
        <w:jc w:val="both"/>
        <w:ind w:left="540" w:right="559" w:firstLine="402"/>
        <w:spacing w:after="0" w:line="297" w:lineRule="auto"/>
        <w:tabs>
          <w:tab w:leader="none" w:pos="1431"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No Impact on Other Benefits</w:t>
      </w:r>
      <w:r>
        <w:rPr>
          <w:rFonts w:ascii="Arial" w:cs="Arial" w:eastAsia="Arial" w:hAnsi="Arial"/>
          <w:sz w:val="19"/>
          <w:szCs w:val="19"/>
          <w:color w:val="auto"/>
        </w:rPr>
        <w:t>. The value of the Participant's PSUs or Performance Shares is not part of his or her normal or expected compensation for purposes of calculating any severance, retirement, welfare, insurance or similar employee benefit.</w:t>
      </w:r>
    </w:p>
    <w:p>
      <w:pPr>
        <w:spacing w:after="0" w:line="133" w:lineRule="exact"/>
        <w:rPr>
          <w:rFonts w:ascii="Arial" w:cs="Arial" w:eastAsia="Arial" w:hAnsi="Arial"/>
          <w:sz w:val="19"/>
          <w:szCs w:val="19"/>
          <w:color w:val="auto"/>
        </w:rPr>
      </w:pPr>
    </w:p>
    <w:p>
      <w:pPr>
        <w:jc w:val="both"/>
        <w:ind w:left="540" w:right="539" w:firstLine="402"/>
        <w:spacing w:after="0" w:line="277" w:lineRule="auto"/>
        <w:tabs>
          <w:tab w:leader="none" w:pos="1431"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Clawbacks</w:t>
      </w:r>
      <w:r>
        <w:rPr>
          <w:rFonts w:ascii="Arial" w:cs="Arial" w:eastAsia="Arial" w:hAnsi="Arial"/>
          <w:sz w:val="19"/>
          <w:szCs w:val="19"/>
          <w:color w:val="auto"/>
        </w:rPr>
        <w:t>. Participant shall be required to forfeit or reimburse the Company with respect to the PSUs or Performance Shares granted under this Agreement and the Plan to the extent required by any clawback or recoupment policy of the Company now in effect or as may be adopted by the Company from time to time, including, without limiting the foregoing, any clawback or recoupment policy adopted in accordance with Section 304 of the Sarbanes-Oxley Act of 2002, Section 954 of the Dodd-Frank Wall Street Reform and Consumer Protection Act, or as otherwise required by applicable law, rule or regulation.</w:t>
      </w:r>
    </w:p>
    <w:p>
      <w:pPr>
        <w:spacing w:after="0" w:line="151" w:lineRule="exact"/>
        <w:rPr>
          <w:rFonts w:ascii="Arial" w:cs="Arial" w:eastAsia="Arial" w:hAnsi="Arial"/>
          <w:sz w:val="19"/>
          <w:szCs w:val="19"/>
          <w:color w:val="auto"/>
        </w:rPr>
      </w:pPr>
    </w:p>
    <w:p>
      <w:pPr>
        <w:jc w:val="both"/>
        <w:ind w:left="540" w:right="539" w:firstLine="402"/>
        <w:spacing w:after="0" w:line="234" w:lineRule="auto"/>
        <w:tabs>
          <w:tab w:leader="none" w:pos="1431"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90" w:lineRule="exact"/>
        <w:rPr>
          <w:rFonts w:ascii="Arial" w:cs="Arial" w:eastAsia="Arial" w:hAnsi="Arial"/>
          <w:sz w:val="22"/>
          <w:szCs w:val="22"/>
          <w:color w:val="auto"/>
        </w:rPr>
      </w:pPr>
    </w:p>
    <w:p>
      <w:pPr>
        <w:jc w:val="both"/>
        <w:ind w:left="540" w:right="539" w:firstLine="402"/>
        <w:spacing w:after="0" w:line="246" w:lineRule="auto"/>
        <w:tabs>
          <w:tab w:leader="none" w:pos="1431" w:val="left"/>
        </w:tabs>
        <w:numPr>
          <w:ilvl w:val="0"/>
          <w:numId w:val="70"/>
        </w:numPr>
        <w:rPr>
          <w:rFonts w:ascii="Arial" w:cs="Arial" w:eastAsia="Arial" w:hAnsi="Arial"/>
          <w:sz w:val="21"/>
          <w:szCs w:val="21"/>
          <w:color w:val="auto"/>
        </w:rPr>
      </w:pPr>
      <w:r>
        <w:rPr>
          <w:rFonts w:ascii="Arial" w:cs="Arial" w:eastAsia="Arial" w:hAnsi="Arial"/>
          <w:sz w:val="21"/>
          <w:szCs w:val="21"/>
          <w:u w:val="single" w:color="auto"/>
          <w:color w:val="auto"/>
        </w:rPr>
        <w:t>Acceptance</w:t>
      </w:r>
      <w:r>
        <w:rPr>
          <w:rFonts w:ascii="Arial" w:cs="Arial" w:eastAsia="Arial" w:hAnsi="Arial"/>
          <w:sz w:val="21"/>
          <w:szCs w:val="21"/>
          <w:color w:val="auto"/>
        </w:rPr>
        <w:t>. The Participant hereby acknowledges receipt of a copy of the Plan and this Agreement. The Participant has read and understands the terms and provisions thereof, and accepts the PSUs subject to all of the terms and conditions of the Plan and this Agreement. The Participant acknowledges that he or she has been advised to consult a tax advisor to understand the tax consequences of such vesting, settlement or disposition. By acceptance of the performance share unit ward shares, the Participant accepts the terms of this Agreement.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27" w:lineRule="exact"/>
        <w:rPr>
          <w:sz w:val="20"/>
          <w:szCs w:val="20"/>
          <w:color w:val="auto"/>
        </w:rPr>
      </w:pPr>
    </w:p>
    <w:p>
      <w:pPr>
        <w:ind w:left="540" w:right="559" w:firstLine="401"/>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executed this Agreement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date first above written.</w:t>
      </w:r>
    </w:p>
    <w:p>
      <w:pPr>
        <w:spacing w:after="0" w:line="176"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EVOLUTION PETROLEUM</w:t>
      </w:r>
    </w:p>
    <w:p>
      <w:pPr>
        <w:spacing w:after="0" w:line="14"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CORPORATION</w:t>
      </w:r>
    </w:p>
    <w:p>
      <w:pPr>
        <w:spacing w:after="0" w:line="200" w:lineRule="exact"/>
        <w:rPr>
          <w:sz w:val="20"/>
          <w:szCs w:val="20"/>
          <w:color w:val="auto"/>
        </w:rPr>
      </w:pPr>
    </w:p>
    <w:p>
      <w:pPr>
        <w:spacing w:after="0" w:line="258" w:lineRule="exact"/>
        <w:rPr>
          <w:sz w:val="20"/>
          <w:szCs w:val="20"/>
          <w:color w:val="auto"/>
        </w:rPr>
      </w:pPr>
    </w:p>
    <w:p>
      <w:pPr>
        <w:ind w:left="4140"/>
        <w:spacing w:after="0"/>
        <w:tabs>
          <w:tab w:leader="none" w:pos="4740" w:val="left"/>
        </w:tabs>
        <w:rPr>
          <w:sz w:val="20"/>
          <w:szCs w:val="20"/>
          <w:color w:val="auto"/>
        </w:rPr>
      </w:pPr>
      <w:r>
        <w:rPr>
          <w:rFonts w:ascii="Arial" w:cs="Arial" w:eastAsia="Arial" w:hAnsi="Arial"/>
          <w:sz w:val="22"/>
          <w:szCs w:val="22"/>
          <w:color w:val="auto"/>
        </w:rPr>
        <w:t>By:</w:t>
        <w:tab/>
        <w:t>________________________</w:t>
      </w:r>
    </w:p>
    <w:p>
      <w:pPr>
        <w:spacing w:after="0" w:line="233"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Name: Title: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780"/>
        <w:spacing w:after="0"/>
        <w:rPr>
          <w:sz w:val="20"/>
          <w:szCs w:val="20"/>
          <w:color w:val="auto"/>
        </w:rPr>
      </w:pPr>
      <w:r>
        <w:rPr>
          <w:rFonts w:ascii="Arial" w:cs="Arial" w:eastAsia="Arial" w:hAnsi="Arial"/>
          <w:sz w:val="22"/>
          <w:szCs w:val="22"/>
          <w:color w:val="auto"/>
        </w:rPr>
        <w:t>Page 6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495935</wp:posOffset>
            </wp:positionV>
            <wp:extent cx="504063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3">
                      <a:extLst>
                        <a:ext uri="{28A0092B-C50C-407E-A947-70E740481C1C}"/>
                      </a:extLst>
                    </a:blip>
                    <a:srcRect/>
                    <a:stretch>
                      <a:fillRect/>
                    </a:stretch>
                  </pic:blipFill>
                  <pic:spPr bwMode="auto">
                    <a:xfrm>
                      <a:off x="0" y="0"/>
                      <a:ext cx="5040630" cy="25400"/>
                    </a:xfrm>
                    <a:prstGeom prst="rect">
                      <a:avLst/>
                    </a:prstGeom>
                    <a:noFill/>
                  </pic:spPr>
                </pic:pic>
              </a:graphicData>
            </a:graphic>
          </wp:anchor>
        </w:drawing>
      </w:r>
    </w:p>
    <w:p>
      <w:pPr>
        <w:sectPr>
          <w:pgSz w:w="11900" w:h="16838" w:orient="portrait"/>
          <w:cols w:equalWidth="0" w:num="1">
            <w:col w:w="9019"/>
          </w:cols>
          <w:pgMar w:left="1440" w:top="666" w:right="1440" w:bottom="1440" w:gutter="0" w:footer="0" w:header="0"/>
        </w:sectPr>
      </w:pPr>
    </w:p>
    <w:bookmarkStart w:id="123" w:name="page124"/>
    <w:bookmarkEnd w:id="123"/>
    <w:p>
      <w:pPr>
        <w:jc w:val="center"/>
        <w:ind w:right="19"/>
        <w:spacing w:after="0"/>
        <w:rPr>
          <w:sz w:val="20"/>
          <w:szCs w:val="20"/>
          <w:color w:val="auto"/>
        </w:rPr>
      </w:pPr>
      <w:r>
        <w:rPr>
          <w:rFonts w:ascii="Arial" w:cs="Arial" w:eastAsia="Arial" w:hAnsi="Arial"/>
          <w:sz w:val="22"/>
          <w:szCs w:val="22"/>
          <w:b w:val="1"/>
          <w:bCs w:val="1"/>
          <w:color w:val="auto"/>
        </w:rPr>
        <w:t>Evolution Petroleum Corporation</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Performance Share Unit Award Agreement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140"/>
        <w:spacing w:after="0"/>
        <w:rPr>
          <w:sz w:val="20"/>
          <w:szCs w:val="20"/>
          <w:color w:val="auto"/>
        </w:rPr>
      </w:pPr>
      <w:r>
        <w:rPr>
          <w:rFonts w:ascii="Arial" w:cs="Arial" w:eastAsia="Arial" w:hAnsi="Arial"/>
          <w:sz w:val="19"/>
          <w:szCs w:val="19"/>
          <w:color w:val="auto"/>
        </w:rPr>
        <w:t>By:  ________________________</w:t>
      </w:r>
    </w:p>
    <w:p>
      <w:pPr>
        <w:spacing w:after="0" w:line="268"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780"/>
        <w:spacing w:after="0"/>
        <w:rPr>
          <w:sz w:val="20"/>
          <w:szCs w:val="20"/>
          <w:color w:val="auto"/>
        </w:rPr>
      </w:pPr>
      <w:r>
        <w:rPr>
          <w:rFonts w:ascii="Arial" w:cs="Arial" w:eastAsia="Arial" w:hAnsi="Arial"/>
          <w:sz w:val="22"/>
          <w:szCs w:val="22"/>
          <w:color w:val="auto"/>
        </w:rPr>
        <w:t>Page 7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495935</wp:posOffset>
            </wp:positionV>
            <wp:extent cx="504063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4">
                      <a:extLst>
                        <a:ext uri="{28A0092B-C50C-407E-A947-70E740481C1C}"/>
                      </a:extLst>
                    </a:blip>
                    <a:srcRect/>
                    <a:stretch>
                      <a:fillRect/>
                    </a:stretch>
                  </pic:blipFill>
                  <pic:spPr bwMode="auto">
                    <a:xfrm>
                      <a:off x="0" y="0"/>
                      <a:ext cx="5040630" cy="25400"/>
                    </a:xfrm>
                    <a:prstGeom prst="rect">
                      <a:avLst/>
                    </a:prstGeom>
                    <a:noFill/>
                  </pic:spPr>
                </pic:pic>
              </a:graphicData>
            </a:graphic>
          </wp:anchor>
        </w:drawing>
      </w:r>
    </w:p>
    <w:p>
      <w:pPr>
        <w:sectPr>
          <w:pgSz w:w="11900" w:h="16838" w:orient="portrait"/>
          <w:cols w:equalWidth="0" w:num="1">
            <w:col w:w="9019"/>
          </w:cols>
          <w:pgMar w:left="1440" w:top="666" w:right="1440" w:bottom="1440" w:gutter="0" w:footer="0" w:header="0"/>
        </w:sectPr>
      </w:pPr>
    </w:p>
    <w:bookmarkStart w:id="124" w:name="page125"/>
    <w:bookmarkEnd w:id="124"/>
    <w:p>
      <w:pPr>
        <w:jc w:val="center"/>
        <w:ind w:right="19"/>
        <w:spacing w:after="0"/>
        <w:rPr>
          <w:sz w:val="20"/>
          <w:szCs w:val="20"/>
          <w:color w:val="auto"/>
        </w:rPr>
      </w:pPr>
      <w:r>
        <w:rPr>
          <w:rFonts w:ascii="Arial" w:cs="Arial" w:eastAsia="Arial" w:hAnsi="Arial"/>
          <w:sz w:val="22"/>
          <w:szCs w:val="22"/>
          <w:b w:val="1"/>
          <w:bCs w:val="1"/>
          <w:color w:val="auto"/>
        </w:rPr>
        <w:t>Evolution Petroleum Corporation</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Performance Share Unit Award Agreement</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EXHIBIT 1</w:t>
      </w:r>
    </w:p>
    <w:p>
      <w:pPr>
        <w:spacing w:after="0" w:line="220" w:lineRule="exact"/>
        <w:rPr>
          <w:sz w:val="20"/>
          <w:szCs w:val="20"/>
          <w:color w:val="auto"/>
        </w:rPr>
      </w:pPr>
    </w:p>
    <w:p>
      <w:pPr>
        <w:ind w:left="1180"/>
        <w:spacing w:after="0"/>
        <w:rPr>
          <w:sz w:val="20"/>
          <w:szCs w:val="20"/>
          <w:color w:val="auto"/>
        </w:rPr>
      </w:pPr>
      <w:r>
        <w:rPr>
          <w:rFonts w:ascii="Arial" w:cs="Arial" w:eastAsia="Arial" w:hAnsi="Arial"/>
          <w:sz w:val="22"/>
          <w:szCs w:val="22"/>
          <w:b w:val="1"/>
          <w:bCs w:val="1"/>
          <w:color w:val="auto"/>
        </w:rPr>
        <w:t>Performance Period</w:t>
      </w:r>
    </w:p>
    <w:p>
      <w:pPr>
        <w:spacing w:after="0" w:line="220"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 xml:space="preserve">The Performance Period shall commence on </w:t>
      </w:r>
      <w:r>
        <w:rPr>
          <w:rFonts w:ascii="Arial" w:cs="Arial" w:eastAsia="Arial" w:hAnsi="Arial"/>
          <w:sz w:val="22"/>
          <w:szCs w:val="22"/>
          <w:b w:val="1"/>
          <w:bCs w:val="1"/>
          <w:color w:val="auto"/>
        </w:rPr>
        <w:t>[DATE]</w:t>
      </w:r>
      <w:r>
        <w:rPr>
          <w:rFonts w:ascii="Arial" w:cs="Arial" w:eastAsia="Arial" w:hAnsi="Arial"/>
          <w:sz w:val="22"/>
          <w:szCs w:val="22"/>
          <w:color w:val="auto"/>
        </w:rPr>
        <w:t xml:space="preserve"> and end on </w:t>
      </w:r>
      <w:r>
        <w:rPr>
          <w:rFonts w:ascii="Arial" w:cs="Arial" w:eastAsia="Arial" w:hAnsi="Arial"/>
          <w:sz w:val="22"/>
          <w:szCs w:val="22"/>
          <w:b w:val="1"/>
          <w:bCs w:val="1"/>
          <w:color w:val="auto"/>
        </w:rPr>
        <w:t>[DATE]</w:t>
      </w:r>
      <w:r>
        <w:rPr>
          <w:rFonts w:ascii="Arial" w:cs="Arial" w:eastAsia="Arial" w:hAnsi="Arial"/>
          <w:sz w:val="22"/>
          <w:szCs w:val="22"/>
          <w:color w:val="auto"/>
        </w:rPr>
        <w:t>.</w:t>
      </w:r>
    </w:p>
    <w:p>
      <w:pPr>
        <w:spacing w:after="0" w:line="220" w:lineRule="exact"/>
        <w:rPr>
          <w:sz w:val="20"/>
          <w:szCs w:val="20"/>
          <w:color w:val="auto"/>
        </w:rPr>
      </w:pPr>
    </w:p>
    <w:p>
      <w:pPr>
        <w:ind w:left="1180"/>
        <w:spacing w:after="0"/>
        <w:rPr>
          <w:sz w:val="20"/>
          <w:szCs w:val="20"/>
          <w:color w:val="auto"/>
        </w:rPr>
      </w:pPr>
      <w:r>
        <w:rPr>
          <w:rFonts w:ascii="Arial" w:cs="Arial" w:eastAsia="Arial" w:hAnsi="Arial"/>
          <w:sz w:val="22"/>
          <w:szCs w:val="22"/>
          <w:b w:val="1"/>
          <w:bCs w:val="1"/>
          <w:color w:val="auto"/>
        </w:rPr>
        <w:t>Performance Measures</w:t>
      </w:r>
    </w:p>
    <w:p>
      <w:pPr>
        <w:spacing w:after="0" w:line="226" w:lineRule="exact"/>
        <w:rPr>
          <w:sz w:val="20"/>
          <w:szCs w:val="20"/>
          <w:color w:val="auto"/>
        </w:rPr>
      </w:pPr>
    </w:p>
    <w:p>
      <w:pPr>
        <w:jc w:val="both"/>
        <w:ind w:left="540" w:right="559" w:firstLine="648"/>
        <w:spacing w:after="0" w:line="263" w:lineRule="auto"/>
        <w:rPr>
          <w:sz w:val="20"/>
          <w:szCs w:val="20"/>
          <w:color w:val="auto"/>
        </w:rPr>
      </w:pPr>
      <w:r>
        <w:rPr>
          <w:rFonts w:ascii="Arial" w:cs="Arial" w:eastAsia="Arial" w:hAnsi="Arial"/>
          <w:sz w:val="22"/>
          <w:szCs w:val="22"/>
          <w:color w:val="auto"/>
        </w:rPr>
        <w:t xml:space="preserve">The number of Performance Shares earned shall be determined by reference to the Company’s </w:t>
      </w:r>
      <w:r>
        <w:rPr>
          <w:rFonts w:ascii="Arial" w:cs="Arial" w:eastAsia="Arial" w:hAnsi="Arial"/>
          <w:sz w:val="22"/>
          <w:szCs w:val="22"/>
          <w:b w:val="1"/>
          <w:bCs w:val="1"/>
          <w:color w:val="auto"/>
        </w:rPr>
        <w:t>[PERFORMANCE MEASURE]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180"/>
        <w:spacing w:after="0"/>
        <w:rPr>
          <w:sz w:val="20"/>
          <w:szCs w:val="20"/>
          <w:color w:val="auto"/>
        </w:rPr>
      </w:pPr>
      <w:r>
        <w:rPr>
          <w:rFonts w:ascii="Arial" w:cs="Arial" w:eastAsia="Arial" w:hAnsi="Arial"/>
          <w:sz w:val="19"/>
          <w:szCs w:val="19"/>
          <w:b w:val="1"/>
          <w:bCs w:val="1"/>
          <w:color w:val="auto"/>
        </w:rPr>
        <w:t>Determining Performance Shares Earned Pursuant to Performance Share</w:t>
      </w:r>
    </w:p>
    <w:p>
      <w:pPr>
        <w:spacing w:after="0" w:line="62"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Units</w:t>
      </w:r>
    </w:p>
    <w:p>
      <w:pPr>
        <w:spacing w:after="0" w:line="202" w:lineRule="exact"/>
        <w:rPr>
          <w:sz w:val="20"/>
          <w:szCs w:val="20"/>
          <w:color w:val="auto"/>
        </w:rPr>
      </w:pPr>
    </w:p>
    <w:p>
      <w:pPr>
        <w:jc w:val="both"/>
        <w:ind w:left="540" w:right="559" w:firstLine="648"/>
        <w:spacing w:after="0" w:line="250" w:lineRule="auto"/>
        <w:rPr>
          <w:sz w:val="20"/>
          <w:szCs w:val="20"/>
          <w:color w:val="auto"/>
        </w:rPr>
      </w:pPr>
      <w:r>
        <w:rPr>
          <w:rFonts w:ascii="Arial" w:cs="Arial" w:eastAsia="Arial" w:hAnsi="Arial"/>
          <w:sz w:val="22"/>
          <w:szCs w:val="22"/>
          <w:color w:val="auto"/>
        </w:rPr>
        <w:t>Except as otherwise provided in the Plan or the Agreement, the number of Performance Shares earned with respect to the Performance Period shall be determined by the performance measure</w:t>
      </w:r>
      <w:r>
        <w:rPr>
          <w:rFonts w:ascii="Arial" w:cs="Arial" w:eastAsia="Arial" w:hAnsi="Arial"/>
          <w:sz w:val="22"/>
          <w:szCs w:val="22"/>
          <w:b w:val="1"/>
          <w:bCs w:val="1"/>
          <w:color w:val="auto"/>
        </w:rPr>
        <w:t>. [FORMULA FOR DETERMINING NUMBER OF</w:t>
      </w:r>
      <w:r>
        <w:rPr>
          <w:rFonts w:ascii="Arial" w:cs="Arial" w:eastAsia="Arial" w:hAnsi="Arial"/>
          <w:sz w:val="22"/>
          <w:szCs w:val="22"/>
          <w:color w:val="auto"/>
        </w:rPr>
        <w:t xml:space="preserve"> </w:t>
      </w:r>
      <w:r>
        <w:rPr>
          <w:rFonts w:ascii="Arial" w:cs="Arial" w:eastAsia="Arial" w:hAnsi="Arial"/>
          <w:sz w:val="22"/>
          <w:szCs w:val="22"/>
          <w:b w:val="1"/>
          <w:bCs w:val="1"/>
          <w:color w:val="auto"/>
        </w:rPr>
        <w:t>PERFORMANCE SHARES THAT WILL BE EARNED]</w:t>
      </w:r>
      <w:r>
        <w:rPr>
          <w:rFonts w:ascii="Arial" w:cs="Arial" w:eastAsia="Arial" w:hAnsi="Arial"/>
          <w:sz w:val="22"/>
          <w:szCs w:val="22"/>
          <w:color w:val="auto"/>
        </w:rPr>
        <w:t>.</w:t>
      </w:r>
    </w:p>
    <w:p>
      <w:pPr>
        <w:spacing w:after="0" w:line="182" w:lineRule="exact"/>
        <w:rPr>
          <w:sz w:val="20"/>
          <w:szCs w:val="20"/>
          <w:color w:val="auto"/>
        </w:rPr>
      </w:pPr>
    </w:p>
    <w:p>
      <w:pPr>
        <w:ind w:left="1180"/>
        <w:spacing w:after="0"/>
        <w:rPr>
          <w:sz w:val="20"/>
          <w:szCs w:val="20"/>
          <w:color w:val="auto"/>
        </w:rPr>
      </w:pPr>
      <w:r>
        <w:rPr>
          <w:rFonts w:ascii="Arial" w:cs="Arial" w:eastAsia="Arial" w:hAnsi="Arial"/>
          <w:sz w:val="22"/>
          <w:szCs w:val="22"/>
          <w:b w:val="1"/>
          <w:bCs w:val="1"/>
          <w:color w:val="auto"/>
        </w:rPr>
        <w:t>Award Range</w:t>
      </w:r>
    </w:p>
    <w:p>
      <w:pPr>
        <w:spacing w:after="0" w:line="212" w:lineRule="exact"/>
        <w:rPr>
          <w:sz w:val="20"/>
          <w:szCs w:val="20"/>
          <w:color w:val="auto"/>
        </w:rPr>
      </w:pPr>
    </w:p>
    <w:p>
      <w:pPr>
        <w:ind w:left="540" w:right="819"/>
        <w:spacing w:after="0"/>
        <w:rPr>
          <w:sz w:val="20"/>
          <w:szCs w:val="20"/>
          <w:color w:val="auto"/>
        </w:rPr>
      </w:pPr>
      <w:r>
        <w:rPr>
          <w:rFonts w:ascii="Arial" w:cs="Arial" w:eastAsia="Arial" w:hAnsi="Arial"/>
          <w:sz w:val="22"/>
          <w:szCs w:val="22"/>
          <w:color w:val="auto"/>
        </w:rPr>
        <w:t xml:space="preserve">Depending on the Company’s achievement of the performance measure above, the Participant may earn between zero percent (0%) and </w:t>
      </w:r>
      <w:r>
        <w:rPr>
          <w:rFonts w:ascii="Arial" w:cs="Arial" w:eastAsia="Arial" w:hAnsi="Arial"/>
          <w:sz w:val="22"/>
          <w:szCs w:val="22"/>
          <w:b w:val="1"/>
          <w:bCs w:val="1"/>
          <w:color w:val="auto"/>
        </w:rPr>
        <w:t>[MAXIMUM PERCENTAGE]</w:t>
      </w:r>
      <w:r>
        <w:rPr>
          <w:rFonts w:ascii="Arial" w:cs="Arial" w:eastAsia="Arial" w:hAnsi="Arial"/>
          <w:sz w:val="22"/>
          <w:szCs w:val="22"/>
          <w:color w:val="auto"/>
        </w:rPr>
        <w:t xml:space="preserve"> of the Target Award.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780"/>
        <w:spacing w:after="0"/>
        <w:rPr>
          <w:sz w:val="20"/>
          <w:szCs w:val="20"/>
          <w:color w:val="auto"/>
        </w:rPr>
      </w:pPr>
      <w:r>
        <w:rPr>
          <w:rFonts w:ascii="Arial" w:cs="Arial" w:eastAsia="Arial" w:hAnsi="Arial"/>
          <w:sz w:val="22"/>
          <w:szCs w:val="22"/>
          <w:color w:val="auto"/>
        </w:rPr>
        <w:t>Page 8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495935</wp:posOffset>
            </wp:positionV>
            <wp:extent cx="504063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5">
                      <a:extLst>
                        <a:ext uri="{28A0092B-C50C-407E-A947-70E740481C1C}"/>
                      </a:extLst>
                    </a:blip>
                    <a:srcRect/>
                    <a:stretch>
                      <a:fillRect/>
                    </a:stretch>
                  </pic:blipFill>
                  <pic:spPr bwMode="auto">
                    <a:xfrm>
                      <a:off x="0" y="0"/>
                      <a:ext cx="5040630" cy="25400"/>
                    </a:xfrm>
                    <a:prstGeom prst="rect">
                      <a:avLst/>
                    </a:prstGeom>
                    <a:noFill/>
                  </pic:spPr>
                </pic:pic>
              </a:graphicData>
            </a:graphic>
          </wp:anchor>
        </w:drawing>
      </w:r>
    </w:p>
    <w:p>
      <w:pPr>
        <w:sectPr>
          <w:pgSz w:w="11900" w:h="16838" w:orient="portrait"/>
          <w:cols w:equalWidth="0" w:num="1">
            <w:col w:w="9019"/>
          </w:cols>
          <w:pgMar w:left="1440" w:top="666" w:right="1440"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2"/>
          </w:tcPr>
          <w:p>
            <w:pPr>
              <w:ind w:left="800"/>
              <w:spacing w:after="0"/>
              <w:rPr>
                <w:sz w:val="20"/>
                <w:szCs w:val="20"/>
                <w:color w:val="auto"/>
              </w:rPr>
            </w:pPr>
            <w:r>
              <w:rPr>
                <w:rFonts w:ascii="Arial" w:cs="Arial" w:eastAsia="Arial" w:hAnsi="Arial"/>
                <w:sz w:val="18"/>
                <w:szCs w:val="18"/>
                <w:b w:val="1"/>
                <w:bCs w:val="1"/>
                <w:color w:val="auto"/>
                <w:w w:val="91"/>
              </w:rPr>
              <w:t>Exhibit 21.1</w:t>
            </w:r>
          </w:p>
        </w:tc>
      </w:tr>
      <w:tr>
        <w:trPr>
          <w:trHeight w:val="432"/>
        </w:trPr>
        <w:tc>
          <w:tcPr>
            <w:tcW w:w="20" w:type="dxa"/>
            <w:vAlign w:val="bottom"/>
          </w:tcPr>
          <w:p>
            <w:pPr>
              <w:spacing w:after="0"/>
              <w:rPr>
                <w:sz w:val="24"/>
                <w:szCs w:val="24"/>
                <w:color w:val="auto"/>
              </w:rPr>
            </w:pPr>
          </w:p>
        </w:tc>
        <w:tc>
          <w:tcPr>
            <w:tcW w:w="8180" w:type="dxa"/>
            <w:vAlign w:val="bottom"/>
            <w:gridSpan w:val="2"/>
          </w:tcPr>
          <w:p>
            <w:pPr>
              <w:ind w:left="2780"/>
              <w:spacing w:after="0"/>
              <w:rPr>
                <w:sz w:val="20"/>
                <w:szCs w:val="20"/>
                <w:color w:val="auto"/>
              </w:rPr>
            </w:pPr>
            <w:r>
              <w:rPr>
                <w:rFonts w:ascii="Arial" w:cs="Arial" w:eastAsia="Arial" w:hAnsi="Arial"/>
                <w:sz w:val="18"/>
                <w:szCs w:val="18"/>
                <w:b w:val="1"/>
                <w:bCs w:val="1"/>
                <w:color w:val="auto"/>
              </w:rPr>
              <w:t>List of Subsidiaries of Evolution Petroleum Corporation</w:t>
            </w: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Jurisdiction of</w:t>
            </w: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Incorporation or</w:t>
            </w:r>
          </w:p>
        </w:tc>
      </w:tr>
      <w:tr>
        <w:trPr>
          <w:trHeight w:val="234"/>
        </w:trPr>
        <w:tc>
          <w:tcPr>
            <w:tcW w:w="20" w:type="dxa"/>
            <w:vAlign w:val="bottom"/>
          </w:tcPr>
          <w:p>
            <w:pPr>
              <w:spacing w:after="0"/>
              <w:rPr>
                <w:sz w:val="20"/>
                <w:szCs w:val="20"/>
                <w:color w:val="auto"/>
              </w:rPr>
            </w:pPr>
          </w:p>
        </w:tc>
        <w:tc>
          <w:tcPr>
            <w:tcW w:w="8180" w:type="dxa"/>
            <w:vAlign w:val="bottom"/>
            <w:gridSpan w:val="2"/>
          </w:tcPr>
          <w:p>
            <w:pPr>
              <w:ind w:left="3300"/>
              <w:spacing w:after="0"/>
              <w:rPr>
                <w:sz w:val="20"/>
                <w:szCs w:val="20"/>
                <w:color w:val="auto"/>
              </w:rPr>
            </w:pPr>
            <w:r>
              <w:rPr>
                <w:rFonts w:ascii="Arial" w:cs="Arial" w:eastAsia="Arial" w:hAnsi="Arial"/>
                <w:sz w:val="18"/>
                <w:szCs w:val="18"/>
                <w:b w:val="1"/>
                <w:bCs w:val="1"/>
                <w:color w:val="auto"/>
              </w:rPr>
              <w:t>Name of Subsidiary</w:t>
            </w:r>
          </w:p>
        </w:tc>
        <w:tc>
          <w:tcPr>
            <w:tcW w:w="17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Organization</w:t>
            </w:r>
          </w:p>
        </w:tc>
      </w:tr>
      <w:tr>
        <w:trPr>
          <w:trHeight w:val="195"/>
        </w:trPr>
        <w:tc>
          <w:tcPr>
            <w:tcW w:w="20" w:type="dxa"/>
            <w:vAlign w:val="bottom"/>
          </w:tcPr>
          <w:p>
            <w:pPr>
              <w:spacing w:after="0"/>
              <w:rPr>
                <w:sz w:val="16"/>
                <w:szCs w:val="16"/>
                <w:color w:val="auto"/>
              </w:rPr>
            </w:pPr>
          </w:p>
        </w:tc>
        <w:tc>
          <w:tcPr>
            <w:tcW w:w="80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Evolution Royalties, Inc.</w:t>
            </w:r>
          </w:p>
        </w:tc>
        <w:tc>
          <w:tcPr>
            <w:tcW w:w="180" w:type="dxa"/>
            <w:vAlign w:val="bottom"/>
          </w:tcPr>
          <w:p>
            <w:pPr>
              <w:spacing w:after="0"/>
              <w:rPr>
                <w:sz w:val="16"/>
                <w:szCs w:val="16"/>
                <w:color w:val="auto"/>
              </w:rPr>
            </w:pPr>
          </w:p>
        </w:tc>
        <w:tc>
          <w:tcPr>
            <w:tcW w:w="1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r>
      <w:tr>
        <w:trPr>
          <w:trHeight w:val="216"/>
        </w:trPr>
        <w:tc>
          <w:tcPr>
            <w:tcW w:w="8200" w:type="dxa"/>
            <w:vAlign w:val="bottom"/>
            <w:gridSpan w:val="3"/>
          </w:tcPr>
          <w:p>
            <w:pPr>
              <w:spacing w:after="0"/>
              <w:rPr>
                <w:sz w:val="20"/>
                <w:szCs w:val="20"/>
                <w:color w:val="auto"/>
              </w:rPr>
            </w:pPr>
            <w:r>
              <w:rPr>
                <w:rFonts w:ascii="Arial" w:cs="Arial" w:eastAsia="Arial" w:hAnsi="Arial"/>
                <w:sz w:val="18"/>
                <w:szCs w:val="18"/>
                <w:color w:val="auto"/>
              </w:rPr>
              <w:t>Evolution Petroleum West, Inc.</w:t>
            </w:r>
          </w:p>
        </w:tc>
        <w:tc>
          <w:tcPr>
            <w:tcW w:w="17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8200" w:type="dxa"/>
            <w:vAlign w:val="bottom"/>
            <w:gridSpan w:val="3"/>
          </w:tcPr>
          <w:p>
            <w:pPr>
              <w:spacing w:after="0"/>
              <w:rPr>
                <w:sz w:val="20"/>
                <w:szCs w:val="20"/>
                <w:color w:val="auto"/>
              </w:rPr>
            </w:pPr>
            <w:r>
              <w:rPr>
                <w:rFonts w:ascii="Arial" w:cs="Arial" w:eastAsia="Arial" w:hAnsi="Arial"/>
                <w:sz w:val="18"/>
                <w:szCs w:val="18"/>
                <w:color w:val="auto"/>
              </w:rPr>
              <w:t>NGS Sub Corp.</w:t>
            </w:r>
          </w:p>
        </w:tc>
        <w:tc>
          <w:tcPr>
            <w:tcW w:w="17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8200" w:type="dxa"/>
            <w:vAlign w:val="bottom"/>
            <w:gridSpan w:val="3"/>
          </w:tcPr>
          <w:p>
            <w:pPr>
              <w:spacing w:after="0"/>
              <w:rPr>
                <w:sz w:val="20"/>
                <w:szCs w:val="20"/>
                <w:color w:val="auto"/>
              </w:rPr>
            </w:pPr>
            <w:r>
              <w:rPr>
                <w:rFonts w:ascii="Arial" w:cs="Arial" w:eastAsia="Arial" w:hAnsi="Arial"/>
                <w:sz w:val="18"/>
                <w:szCs w:val="18"/>
                <w:color w:val="auto"/>
              </w:rPr>
              <w:t>NGS Technologies, Inc.</w:t>
            </w:r>
          </w:p>
        </w:tc>
        <w:tc>
          <w:tcPr>
            <w:tcW w:w="17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8200" w:type="dxa"/>
            <w:vAlign w:val="bottom"/>
            <w:gridSpan w:val="3"/>
          </w:tcPr>
          <w:p>
            <w:pPr>
              <w:spacing w:after="0"/>
              <w:rPr>
                <w:sz w:val="20"/>
                <w:szCs w:val="20"/>
                <w:color w:val="auto"/>
              </w:rPr>
            </w:pPr>
            <w:r>
              <w:rPr>
                <w:rFonts w:ascii="Arial" w:cs="Arial" w:eastAsia="Arial" w:hAnsi="Arial"/>
                <w:sz w:val="18"/>
                <w:szCs w:val="18"/>
                <w:color w:val="auto"/>
              </w:rPr>
              <w:t>Evolution Operating Co., Inc.</w:t>
            </w:r>
          </w:p>
        </w:tc>
        <w:tc>
          <w:tcPr>
            <w:tcW w:w="174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216"/>
        </w:trPr>
        <w:tc>
          <w:tcPr>
            <w:tcW w:w="8200" w:type="dxa"/>
            <w:vAlign w:val="bottom"/>
            <w:gridSpan w:val="3"/>
          </w:tcPr>
          <w:p>
            <w:pPr>
              <w:spacing w:after="0"/>
              <w:rPr>
                <w:sz w:val="20"/>
                <w:szCs w:val="20"/>
                <w:color w:val="auto"/>
              </w:rPr>
            </w:pPr>
            <w:r>
              <w:rPr>
                <w:rFonts w:ascii="Arial" w:cs="Arial" w:eastAsia="Arial" w:hAnsi="Arial"/>
                <w:sz w:val="18"/>
                <w:szCs w:val="18"/>
                <w:color w:val="auto"/>
              </w:rPr>
              <w:t>Evolution Petroleum OK, Inc.</w:t>
            </w:r>
          </w:p>
        </w:tc>
        <w:tc>
          <w:tcPr>
            <w:tcW w:w="174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216"/>
        </w:trPr>
        <w:tc>
          <w:tcPr>
            <w:tcW w:w="8200" w:type="dxa"/>
            <w:vAlign w:val="bottom"/>
            <w:gridSpan w:val="3"/>
          </w:tcPr>
          <w:p>
            <w:pPr>
              <w:spacing w:after="0"/>
              <w:rPr>
                <w:sz w:val="20"/>
                <w:szCs w:val="20"/>
                <w:color w:val="auto"/>
              </w:rPr>
            </w:pPr>
            <w:r>
              <w:rPr>
                <w:rFonts w:ascii="Arial" w:cs="Arial" w:eastAsia="Arial" w:hAnsi="Arial"/>
                <w:sz w:val="18"/>
                <w:szCs w:val="18"/>
                <w:color w:val="auto"/>
              </w:rPr>
              <w:t>Tertiaire Resources Company</w:t>
            </w:r>
          </w:p>
        </w:tc>
        <w:tc>
          <w:tcPr>
            <w:tcW w:w="174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216"/>
        </w:trPr>
        <w:tc>
          <w:tcPr>
            <w:tcW w:w="8200" w:type="dxa"/>
            <w:vAlign w:val="bottom"/>
            <w:gridSpan w:val="3"/>
          </w:tcPr>
          <w:p>
            <w:pPr>
              <w:spacing w:after="0"/>
              <w:rPr>
                <w:sz w:val="20"/>
                <w:szCs w:val="20"/>
                <w:color w:val="auto"/>
              </w:rPr>
            </w:pPr>
            <w:r>
              <w:rPr>
                <w:rFonts w:ascii="Arial" w:cs="Arial" w:eastAsia="Arial" w:hAnsi="Arial"/>
                <w:sz w:val="18"/>
                <w:szCs w:val="18"/>
                <w:color w:val="auto"/>
              </w:rPr>
              <w:t>ARKLA Petroleum, LLC (Subsidiary of NGS Sub. Corp.)</w:t>
            </w:r>
          </w:p>
        </w:tc>
        <w:tc>
          <w:tcPr>
            <w:tcW w:w="1740" w:type="dxa"/>
            <w:vAlign w:val="bottom"/>
            <w:gridSpan w:val="2"/>
          </w:tcPr>
          <w:p>
            <w:pPr>
              <w:spacing w:after="0"/>
              <w:rPr>
                <w:sz w:val="20"/>
                <w:szCs w:val="20"/>
                <w:color w:val="auto"/>
              </w:rPr>
            </w:pPr>
            <w:r>
              <w:rPr>
                <w:rFonts w:ascii="Arial" w:cs="Arial" w:eastAsia="Arial" w:hAnsi="Arial"/>
                <w:sz w:val="18"/>
                <w:szCs w:val="18"/>
                <w:color w:val="auto"/>
              </w:rPr>
              <w:t>Louisiana</w:t>
            </w:r>
          </w:p>
        </w:tc>
      </w:tr>
      <w:tr>
        <w:trPr>
          <w:trHeight w:val="230"/>
        </w:trPr>
        <w:tc>
          <w:tcPr>
            <w:tcW w:w="8200" w:type="dxa"/>
            <w:vAlign w:val="bottom"/>
            <w:gridSpan w:val="3"/>
          </w:tcPr>
          <w:p>
            <w:pPr>
              <w:spacing w:after="0"/>
              <w:rPr>
                <w:sz w:val="20"/>
                <w:szCs w:val="20"/>
                <w:color w:val="auto"/>
              </w:rPr>
            </w:pPr>
            <w:r>
              <w:rPr>
                <w:rFonts w:ascii="Arial" w:cs="Arial" w:eastAsia="Arial" w:hAnsi="Arial"/>
                <w:sz w:val="18"/>
                <w:szCs w:val="18"/>
                <w:color w:val="auto"/>
              </w:rPr>
              <w:t>NGS Resources, LLC (Subsidiary of NGS Technologies, Inc.)</w:t>
            </w:r>
          </w:p>
        </w:tc>
        <w:tc>
          <w:tcPr>
            <w:tcW w:w="174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777"/>
        </w:trPr>
        <w:tc>
          <w:tcPr>
            <w:tcW w:w="2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26" w:name="page127"/>
    <w:bookmarkEnd w:id="126"/>
    <w:p>
      <w:pPr>
        <w:jc w:val="right"/>
        <w:spacing w:after="0"/>
        <w:rPr>
          <w:sz w:val="20"/>
          <w:szCs w:val="20"/>
          <w:color w:val="auto"/>
        </w:rPr>
      </w:pPr>
      <w:r>
        <w:rPr>
          <w:rFonts w:ascii="Arial" w:cs="Arial" w:eastAsia="Arial" w:hAnsi="Arial"/>
          <w:sz w:val="20"/>
          <w:szCs w:val="20"/>
          <w:b w:val="1"/>
          <w:bCs w:val="1"/>
          <w:color w:val="auto"/>
        </w:rPr>
        <w:t>Exhibit 23.1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CONSENT OF INDEPENDENT REGISTERED PUBLIC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ACCOUNTING FIRM</w:t>
      </w:r>
    </w:p>
    <w:p>
      <w:pPr>
        <w:spacing w:after="0" w:line="208" w:lineRule="exact"/>
        <w:rPr>
          <w:sz w:val="20"/>
          <w:szCs w:val="20"/>
          <w:color w:val="auto"/>
        </w:rPr>
      </w:pPr>
    </w:p>
    <w:p>
      <w:pPr>
        <w:ind w:right="240"/>
        <w:spacing w:after="0" w:line="264" w:lineRule="auto"/>
        <w:rPr>
          <w:sz w:val="20"/>
          <w:szCs w:val="20"/>
          <w:color w:val="auto"/>
        </w:rPr>
      </w:pPr>
      <w:r>
        <w:rPr>
          <w:rFonts w:ascii="Arial" w:cs="Arial" w:eastAsia="Arial" w:hAnsi="Arial"/>
          <w:sz w:val="17"/>
          <w:szCs w:val="17"/>
          <w:color w:val="auto"/>
        </w:rPr>
        <w:t>We consent to the incorporation by reference in the Registration Statements on Forms S-3 (No. 333-265430 and No. 333-193899), Form S-3/A (No. 333-231412) and Forms S-8 (333-251233, 333-152136, 333-140182, 333-183746 and 333-</w:t>
      </w:r>
    </w:p>
    <w:p>
      <w:pPr>
        <w:ind w:right="200"/>
        <w:spacing w:after="0"/>
        <w:rPr>
          <w:sz w:val="20"/>
          <w:szCs w:val="20"/>
          <w:color w:val="auto"/>
        </w:rPr>
      </w:pPr>
      <w:r>
        <w:rPr>
          <w:rFonts w:ascii="Arial" w:cs="Arial" w:eastAsia="Arial" w:hAnsi="Arial"/>
          <w:sz w:val="18"/>
          <w:szCs w:val="18"/>
          <w:color w:val="auto"/>
        </w:rPr>
        <w:t>216098) of Evolution Petroleum Corporation (the “Company”), of our report dated September 13, 2023, relating to the consolidated financial statements of the Company which report expresses an unqualified opinion, appearing in this Annual Report on Form 10-K of the Company for the year ended June 30, 2023.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/s/ Moss Adams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5" w:right="999" w:bottom="1440" w:gutter="0" w:footer="0" w:header="0"/>
        </w:sectPr>
      </w:pPr>
    </w:p>
    <w:bookmarkStart w:id="127" w:name="page128"/>
    <w:bookmarkEnd w:id="127"/>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508000</wp:posOffset>
            </wp:positionH>
            <wp:positionV relativeFrom="page">
              <wp:posOffset>88900</wp:posOffset>
            </wp:positionV>
            <wp:extent cx="5760720" cy="6686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7">
                      <a:clrChange>
                        <a:clrFrom>
                          <a:srgbClr val="FFFFFF"/>
                        </a:clrFrom>
                        <a:clrTo>
                          <a:srgbClr val="FFFFFF">
                            <a:alpha val="0"/>
                          </a:srgbClr>
                        </a:clrTo>
                      </a:clrChange>
                      <a:extLst>
                        <a:ext uri="{28A0092B-C50C-407E-A947-70E740481C1C}"/>
                      </a:extLst>
                    </a:blip>
                    <a:srcRect/>
                    <a:stretch>
                      <a:fillRect/>
                    </a:stretch>
                  </pic:blipFill>
                  <pic:spPr bwMode="auto">
                    <a:xfrm>
                      <a:off x="0" y="0"/>
                      <a:ext cx="5760720" cy="6686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CONSENT OF INDEPENDENT PETROLEUM ENGINEERS AND GEOLOGISTS</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independent petroleum engineers, we hereby consent to the references to our firm, in the context in which they appear, and to the references to and the incorporation by reference of our reserves report dated August 10, 2023, included in the Annual Report on Form 10-K of Evolution Petroleum Corporation (the "Company") for the fiscal year ended June 30, 2023, as well as in the notes to the financial statements included therein. We also hereby consent to the incorporation by reference of the references to our firm, in the context in which they appear, and to our reserves reports into the Registration Statements on Form S-3 No. 333-265430, Form S-3/A No. 333-231412, Form S-3 No. 333-193899, Form S-8 Nos. 333-251233, 333-152136, 333-140182, 333-183746, and 333-216098.</w:t>
      </w:r>
    </w:p>
    <w:p>
      <w:pPr>
        <w:spacing w:after="0" w:line="200" w:lineRule="exact"/>
        <w:rPr>
          <w:sz w:val="20"/>
          <w:szCs w:val="20"/>
          <w:color w:val="auto"/>
        </w:rPr>
      </w:pPr>
    </w:p>
    <w:p>
      <w:pPr>
        <w:spacing w:after="0" w:line="20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NETHERLAND, SEWELL &amp; ASSOCIATES, INC.</w:t>
      </w:r>
    </w:p>
    <w:p>
      <w:pPr>
        <w:spacing w:after="0" w:line="200" w:lineRule="exact"/>
        <w:rPr>
          <w:sz w:val="20"/>
          <w:szCs w:val="20"/>
          <w:color w:val="auto"/>
        </w:rPr>
      </w:pPr>
    </w:p>
    <w:p>
      <w:pPr>
        <w:spacing w:after="0" w:line="367" w:lineRule="exact"/>
        <w:rPr>
          <w:sz w:val="20"/>
          <w:szCs w:val="20"/>
          <w:color w:val="auto"/>
        </w:rPr>
      </w:pPr>
    </w:p>
    <w:p>
      <w:pPr>
        <w:ind w:left="5900"/>
        <w:spacing w:after="0"/>
        <w:tabs>
          <w:tab w:leader="none" w:pos="6320" w:val="left"/>
        </w:tabs>
        <w:rPr>
          <w:sz w:val="20"/>
          <w:szCs w:val="20"/>
          <w:color w:val="auto"/>
        </w:rPr>
      </w:pPr>
      <w:r>
        <w:rPr>
          <w:rFonts w:ascii="Arial" w:cs="Arial" w:eastAsia="Arial" w:hAnsi="Arial"/>
          <w:sz w:val="18"/>
          <w:szCs w:val="18"/>
          <w:color w:val="auto"/>
        </w:rPr>
        <w:t>By:</w:t>
        <w:tab/>
        <w:t>/s/ Richard B. Talley,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3973195</wp:posOffset>
            </wp:positionH>
            <wp:positionV relativeFrom="paragraph">
              <wp:posOffset>14605</wp:posOffset>
            </wp:positionV>
            <wp:extent cx="190309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Richard B. Talley, Jr., P.E.</w:t>
      </w:r>
    </w:p>
    <w:p>
      <w:pPr>
        <w:spacing w:after="0" w:line="2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348615</wp:posOffset>
            </wp:positionV>
            <wp:extent cx="588073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9">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1440" w:right="1339" w:bottom="1440" w:gutter="0" w:footer="0" w:header="0"/>
        </w:sectPr>
      </w:pPr>
    </w:p>
    <w:bookmarkStart w:id="128" w:name="page129"/>
    <w:bookmarkEnd w:id="128"/>
    <w:p>
      <w:pPr>
        <w:jc w:val="right"/>
        <w:ind w:right="559"/>
        <w:spacing w:after="0"/>
        <w:rPr>
          <w:sz w:val="20"/>
          <w:szCs w:val="20"/>
          <w:color w:val="auto"/>
        </w:rPr>
      </w:pPr>
      <w:r>
        <w:rPr>
          <w:rFonts w:ascii="Arial" w:cs="Arial" w:eastAsia="Arial" w:hAnsi="Arial"/>
          <w:sz w:val="18"/>
          <w:szCs w:val="18"/>
          <w:b w:val="1"/>
          <w:bCs w:val="1"/>
          <w:color w:val="auto"/>
        </w:rPr>
        <w:t>EXHIBIT 23.3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DEGOLYER AND MACNAUGHTON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5001 SPRING VALLEY ROAD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SUITE 800 EAST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DALLAS, TEXAS 75244</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September 13, 2023</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Evolution Petroleum Corporation</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1155 Dairy Ashford Road, Suite 425</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Houston, Texas 77079</w:t>
      </w:r>
    </w:p>
    <w:p>
      <w:pPr>
        <w:spacing w:after="0" w:line="23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Ladies &amp; Gentlemen:</w:t>
      </w:r>
    </w:p>
    <w:p>
      <w:pPr>
        <w:spacing w:after="0" w:line="279" w:lineRule="exact"/>
        <w:rPr>
          <w:sz w:val="20"/>
          <w:szCs w:val="20"/>
          <w:color w:val="auto"/>
        </w:rPr>
      </w:pPr>
    </w:p>
    <w:p>
      <w:pPr>
        <w:jc w:val="both"/>
        <w:ind w:left="540" w:right="559" w:firstLine="648"/>
        <w:spacing w:after="0" w:line="253" w:lineRule="auto"/>
        <w:rPr>
          <w:sz w:val="20"/>
          <w:szCs w:val="20"/>
          <w:color w:val="auto"/>
        </w:rPr>
      </w:pPr>
      <w:r>
        <w:rPr>
          <w:rFonts w:ascii="Arial" w:cs="Arial" w:eastAsia="Arial" w:hAnsi="Arial"/>
          <w:sz w:val="18"/>
          <w:szCs w:val="18"/>
          <w:color w:val="auto"/>
        </w:rPr>
        <w:t>We hereby consent to the use of the name DeGolyer and MacNaughton, to references to DeGolyer and MacNaughton, to the inclusion of our report of third party dated August 7, 2023, and to the inclusion of information taken from our report entitled "Report as of June 30, 2023 on Reserves and Revenue of Certain Properties with interests attributable to Evolution Petroleum Corporation" in the Annual Report on Form 10-K of Evolution Petroleum Corporation for the year ended June 30, 2023. We further consent to the incorporation by reference of information in the Form 10-K in the Evolution Petroleum Corporation Registration Statements on Form S-8 (File Nos. 333-251233, 333-152136, 333-140182, 333-183746, and 333-216098), Form S-3 (File No. 333-265430), Form S-3/A (File No. 333-231412) and Form S-3 (File No. 333-193899).</w:t>
      </w:r>
    </w:p>
    <w:p>
      <w:pPr>
        <w:spacing w:after="0" w:line="19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 DeGolyer and MacNaughton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2808605</wp:posOffset>
            </wp:positionH>
            <wp:positionV relativeFrom="paragraph">
              <wp:posOffset>23495</wp:posOffset>
            </wp:positionV>
            <wp:extent cx="24085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0">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DeGOLYER and MacNAUGHTON</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Texas Registered Engineering Firm F-716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768985</wp:posOffset>
            </wp:positionV>
            <wp:extent cx="5040630"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1">
                      <a:extLst>
                        <a:ext uri="{28A0092B-C50C-407E-A947-70E740481C1C}"/>
                      </a:extLst>
                    </a:blip>
                    <a:srcRect/>
                    <a:stretch>
                      <a:fillRect/>
                    </a:stretch>
                  </pic:blipFill>
                  <pic:spPr bwMode="auto">
                    <a:xfrm>
                      <a:off x="0" y="0"/>
                      <a:ext cx="5040630" cy="25400"/>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 Kelly W. Loyd, President and Chief Executive Officer (Principal Executive Officer) and Director, of Evolution Petroleum Corporation, certify that:</w:t>
      </w:r>
    </w:p>
    <w:p>
      <w:pPr>
        <w:spacing w:after="0" w:line="170"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Evolution Petroleum Corporation;</w:t>
      </w:r>
    </w:p>
    <w:p>
      <w:pPr>
        <w:spacing w:after="0" w:line="225" w:lineRule="exact"/>
        <w:rPr>
          <w:rFonts w:ascii="Arial" w:cs="Arial" w:eastAsia="Arial" w:hAnsi="Arial"/>
          <w:sz w:val="18"/>
          <w:szCs w:val="18"/>
          <w:color w:val="auto"/>
        </w:rPr>
      </w:pPr>
    </w:p>
    <w:p>
      <w:pPr>
        <w:ind w:left="660" w:right="200" w:hanging="328"/>
        <w:spacing w:after="0" w:line="263"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80" w:hanging="328"/>
        <w:spacing w:after="0" w:line="263"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120" w:hanging="324"/>
        <w:spacing w:after="0" w:line="311" w:lineRule="auto"/>
        <w:tabs>
          <w:tab w:leader="none" w:pos="980" w:val="left"/>
        </w:tabs>
        <w:numPr>
          <w:ilvl w:val="1"/>
          <w:numId w:val="7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980" w:right="420" w:hanging="324"/>
        <w:spacing w:after="0" w:line="311" w:lineRule="auto"/>
        <w:tabs>
          <w:tab w:leader="none" w:pos="980" w:val="left"/>
        </w:tabs>
        <w:numPr>
          <w:ilvl w:val="1"/>
          <w:numId w:val="7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980" w:right="280" w:hanging="324"/>
        <w:spacing w:after="0" w:line="263" w:lineRule="auto"/>
        <w:tabs>
          <w:tab w:leader="none" w:pos="9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980" w:right="100" w:hanging="324"/>
        <w:spacing w:after="0" w:line="311" w:lineRule="auto"/>
        <w:tabs>
          <w:tab w:leader="none" w:pos="980" w:val="left"/>
        </w:tabs>
        <w:numPr>
          <w:ilvl w:val="1"/>
          <w:numId w:val="7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660" w:right="560" w:hanging="328"/>
        <w:spacing w:after="0" w:line="263"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980" w:right="200" w:hanging="324"/>
        <w:spacing w:after="0" w:line="263" w:lineRule="auto"/>
        <w:tabs>
          <w:tab w:leader="none" w:pos="9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980" w:right="580" w:hanging="324"/>
        <w:spacing w:after="0" w:line="277" w:lineRule="auto"/>
        <w:tabs>
          <w:tab w:leader="none" w:pos="9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Dated: September 13, 2023</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KELLY W. LOYD</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Kelly W. Loyd</w:t>
            </w:r>
          </w:p>
        </w:tc>
      </w:t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i w:val="1"/>
                <w:iCs w:val="1"/>
                <w:color w:val="auto"/>
                <w:w w:val="93"/>
              </w:rPr>
              <w:t>President and Chief Executive Officer (Principal Executive Officer)</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i w:val="1"/>
                <w:iCs w:val="1"/>
                <w:color w:val="auto"/>
              </w:rPr>
              <w:t>and Director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I, Ryan Stash, Senior Vice President, Chief Financial Officer (Principal Financial Officer) and Treasurer of Evolution Petroleum Corporation, certify that:</w:t>
      </w:r>
    </w:p>
    <w:p>
      <w:pPr>
        <w:spacing w:after="0" w:line="170"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Evolution Petroleum Corporation;</w:t>
      </w:r>
    </w:p>
    <w:p>
      <w:pPr>
        <w:spacing w:after="0" w:line="225" w:lineRule="exact"/>
        <w:rPr>
          <w:rFonts w:ascii="Arial" w:cs="Arial" w:eastAsia="Arial" w:hAnsi="Arial"/>
          <w:sz w:val="18"/>
          <w:szCs w:val="18"/>
          <w:color w:val="auto"/>
        </w:rPr>
      </w:pPr>
    </w:p>
    <w:p>
      <w:pPr>
        <w:ind w:left="660" w:right="200" w:hanging="328"/>
        <w:spacing w:after="0" w:line="263"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80" w:hanging="328"/>
        <w:spacing w:after="0" w:line="263"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120" w:hanging="324"/>
        <w:spacing w:after="0" w:line="311" w:lineRule="auto"/>
        <w:tabs>
          <w:tab w:leader="none" w:pos="980" w:val="left"/>
        </w:tabs>
        <w:numPr>
          <w:ilvl w:val="1"/>
          <w:numId w:val="7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980" w:right="420" w:hanging="324"/>
        <w:spacing w:after="0" w:line="311" w:lineRule="auto"/>
        <w:tabs>
          <w:tab w:leader="none" w:pos="980" w:val="left"/>
        </w:tabs>
        <w:numPr>
          <w:ilvl w:val="1"/>
          <w:numId w:val="7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980" w:right="280" w:hanging="324"/>
        <w:spacing w:after="0" w:line="263" w:lineRule="auto"/>
        <w:tabs>
          <w:tab w:leader="none" w:pos="9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980" w:right="100" w:hanging="324"/>
        <w:spacing w:after="0" w:line="311" w:lineRule="auto"/>
        <w:tabs>
          <w:tab w:leader="none" w:pos="980" w:val="left"/>
        </w:tabs>
        <w:numPr>
          <w:ilvl w:val="1"/>
          <w:numId w:val="7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660" w:right="560" w:hanging="328"/>
        <w:spacing w:after="0" w:line="263"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980" w:right="200" w:hanging="324"/>
        <w:spacing w:after="0" w:line="263" w:lineRule="auto"/>
        <w:tabs>
          <w:tab w:leader="none" w:pos="9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980" w:right="580" w:hanging="324"/>
        <w:spacing w:after="0" w:line="277" w:lineRule="auto"/>
        <w:tabs>
          <w:tab w:leader="none" w:pos="9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Dated: September 13, 2023</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RYAN STASH</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Ryan Stash</w:t>
            </w:r>
          </w:p>
        </w:tc>
      </w:t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i w:val="1"/>
                <w:iCs w:val="1"/>
                <w:color w:val="auto"/>
                <w:w w:val="95"/>
              </w:rPr>
              <w:t>Senior Vice President, Chief Financial Officer (Principal Financial</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i w:val="1"/>
                <w:iCs w:val="1"/>
                <w:color w:val="auto"/>
              </w:rPr>
              <w:t>Officer) and Treasurer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undersigned, Kelly W. Loyd, President and Chief Executive Officer (Principal Executive Officer) and Director of Evolution Petroleum Corporation (the “Company”), certifies in connection with the filing with the Securities and Exchange Commission of the Company’s Annual Report on Form 10-K for the year ended June 30, 2023 (the “Report”) pursuant to 18 U.S.C. Section 1350, as adopted pursuant to Section 906 of the Sarbanes-Oxley Act of 2002, to his knowledge, that:</w:t>
      </w:r>
    </w:p>
    <w:p>
      <w:pPr>
        <w:spacing w:after="0" w:line="187" w:lineRule="exact"/>
        <w:rPr>
          <w:sz w:val="20"/>
          <w:szCs w:val="20"/>
          <w:color w:val="auto"/>
        </w:rPr>
      </w:pPr>
    </w:p>
    <w:p>
      <w:pPr>
        <w:ind w:left="1300" w:hanging="644"/>
        <w:spacing w:after="0"/>
        <w:tabs>
          <w:tab w:leader="none" w:pos="13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48" w:lineRule="exact"/>
        <w:rPr>
          <w:rFonts w:ascii="Arial" w:cs="Arial" w:eastAsia="Arial" w:hAnsi="Arial"/>
          <w:sz w:val="16"/>
          <w:szCs w:val="16"/>
          <w:color w:val="auto"/>
        </w:rPr>
      </w:pPr>
    </w:p>
    <w:p>
      <w:pPr>
        <w:ind w:left="1300" w:right="200" w:hanging="644"/>
        <w:spacing w:after="0" w:line="277" w:lineRule="auto"/>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executed this certification as of September 13, 2023.</w:t>
      </w:r>
    </w:p>
    <w:p>
      <w:pPr>
        <w:spacing w:after="0" w:line="23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 KELLY W. 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Kelly W. Loyd</w:t>
      </w:r>
    </w:p>
    <w:p>
      <w:pPr>
        <w:spacing w:after="0" w:line="23" w:lineRule="exact"/>
        <w:rPr>
          <w:sz w:val="20"/>
          <w:szCs w:val="20"/>
          <w:color w:val="auto"/>
        </w:rPr>
      </w:pPr>
    </w:p>
    <w:p>
      <w:pPr>
        <w:jc w:val="center"/>
        <w:ind w:left="4940"/>
        <w:spacing w:after="0"/>
        <w:rPr>
          <w:sz w:val="20"/>
          <w:szCs w:val="20"/>
          <w:color w:val="auto"/>
        </w:rPr>
      </w:pPr>
      <w:r>
        <w:rPr>
          <w:rFonts w:ascii="Arial" w:cs="Arial" w:eastAsia="Arial" w:hAnsi="Arial"/>
          <w:sz w:val="16"/>
          <w:szCs w:val="16"/>
          <w:i w:val="1"/>
          <w:iCs w:val="1"/>
          <w:color w:val="auto"/>
        </w:rPr>
        <w:t>President and Chief Executive Officer (Principal Executive Officer)</w:t>
      </w:r>
    </w:p>
    <w:p>
      <w:pPr>
        <w:spacing w:after="0" w:line="32" w:lineRule="exact"/>
        <w:rPr>
          <w:sz w:val="20"/>
          <w:szCs w:val="20"/>
          <w:color w:val="auto"/>
        </w:rPr>
      </w:pPr>
    </w:p>
    <w:p>
      <w:pPr>
        <w:jc w:val="center"/>
        <w:ind w:left="4940"/>
        <w:spacing w:after="0"/>
        <w:rPr>
          <w:sz w:val="20"/>
          <w:szCs w:val="20"/>
          <w:color w:val="auto"/>
        </w:rPr>
      </w:pPr>
      <w:r>
        <w:rPr>
          <w:rFonts w:ascii="Arial" w:cs="Arial" w:eastAsia="Arial" w:hAnsi="Arial"/>
          <w:sz w:val="18"/>
          <w:szCs w:val="18"/>
          <w:i w:val="1"/>
          <w:iCs w:val="1"/>
          <w:color w:val="auto"/>
        </w:rPr>
        <w:t>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211455</wp:posOffset>
            </wp:positionV>
            <wp:extent cx="629221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A signed original of this written statement require d by Section 906 has been provided to Evolution Petroleum Corporation and will be retained by Evolution Petroleum Corporation and furnished to the Securities and Exchange Commission or its staff upon request. The foregoing certificate is being furnished to the Securities and Exchange Commission as an exhibit to this Form 10-K and shall not be considered filed as part of the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333375</wp:posOffset>
            </wp:positionV>
            <wp:extent cx="629221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undersigned, Ryan Stash, Senior Vice President, Chief Financial Officer (Principal Financial Officer) and Treasurer of Evolution Petroleum Corporation (the “Company”), certifies in connection with the filing with the Securities and Exchange Commission of the Company’s Annual Report on Form 10-K for the year ended June 30, 2023 (the “Report”) pursuant to 18 U.S.C. Section 1350, as adopted pursuant to Section 906 of the Sarbanes-Oxley Act of 2002, to his knowledge, that:</w:t>
      </w:r>
    </w:p>
    <w:p>
      <w:pPr>
        <w:spacing w:after="0" w:line="171" w:lineRule="exact"/>
        <w:rPr>
          <w:sz w:val="20"/>
          <w:szCs w:val="20"/>
          <w:color w:val="auto"/>
        </w:rPr>
      </w:pPr>
    </w:p>
    <w:p>
      <w:pPr>
        <w:ind w:left="1300" w:hanging="644"/>
        <w:spacing w:after="0"/>
        <w:tabs>
          <w:tab w:leader="none" w:pos="13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48" w:lineRule="exact"/>
        <w:rPr>
          <w:rFonts w:ascii="Arial" w:cs="Arial" w:eastAsia="Arial" w:hAnsi="Arial"/>
          <w:sz w:val="16"/>
          <w:szCs w:val="16"/>
          <w:color w:val="auto"/>
        </w:rPr>
      </w:pPr>
    </w:p>
    <w:p>
      <w:pPr>
        <w:ind w:left="1300" w:right="200" w:hanging="644"/>
        <w:spacing w:after="0" w:line="277" w:lineRule="auto"/>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executed this certification as of September 13, 2023.</w:t>
      </w:r>
    </w:p>
    <w:p>
      <w:pPr>
        <w:spacing w:after="0" w:line="23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RYAN STASH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14605</wp:posOffset>
            </wp:positionV>
            <wp:extent cx="31800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5">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Ryan Stash</w:t>
      </w:r>
    </w:p>
    <w:p>
      <w:pPr>
        <w:spacing w:after="0" w:line="23" w:lineRule="exact"/>
        <w:rPr>
          <w:sz w:val="20"/>
          <w:szCs w:val="20"/>
          <w:color w:val="auto"/>
        </w:rPr>
      </w:pPr>
    </w:p>
    <w:p>
      <w:pPr>
        <w:jc w:val="center"/>
        <w:ind w:left="4880"/>
        <w:spacing w:after="0"/>
        <w:rPr>
          <w:sz w:val="20"/>
          <w:szCs w:val="20"/>
          <w:color w:val="auto"/>
        </w:rPr>
      </w:pPr>
      <w:r>
        <w:rPr>
          <w:rFonts w:ascii="Arial" w:cs="Arial" w:eastAsia="Arial" w:hAnsi="Arial"/>
          <w:sz w:val="17"/>
          <w:szCs w:val="17"/>
          <w:i w:val="1"/>
          <w:iCs w:val="1"/>
          <w:color w:val="auto"/>
        </w:rPr>
        <w:t>Senior Vice President, Chief Financial Officer (Principal Financial</w:t>
      </w:r>
    </w:p>
    <w:p>
      <w:pPr>
        <w:spacing w:after="0" w:line="21" w:lineRule="exact"/>
        <w:rPr>
          <w:sz w:val="20"/>
          <w:szCs w:val="20"/>
          <w:color w:val="auto"/>
        </w:rPr>
      </w:pPr>
    </w:p>
    <w:p>
      <w:pPr>
        <w:jc w:val="center"/>
        <w:ind w:left="4880"/>
        <w:spacing w:after="0"/>
        <w:rPr>
          <w:sz w:val="20"/>
          <w:szCs w:val="20"/>
          <w:color w:val="auto"/>
        </w:rPr>
      </w:pPr>
      <w:r>
        <w:rPr>
          <w:rFonts w:ascii="Arial" w:cs="Arial" w:eastAsia="Arial" w:hAnsi="Arial"/>
          <w:sz w:val="18"/>
          <w:szCs w:val="18"/>
          <w:i w:val="1"/>
          <w:iCs w:val="1"/>
          <w:color w:val="auto"/>
        </w:rPr>
        <w:t>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211455</wp:posOffset>
            </wp:positionV>
            <wp:extent cx="629221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A signed original of this written statement required by Section 906 has been provided to Evolution Petroleum Corporation and will be retained by Evolution Petroleum Corporation and furnished to the Securities and Exchange Commission or its staff upon request. The foregoing certificate is being furnished to the Securities and Exchange Commission as an exhibit to this Form 10-K and shall not be considered filed as part of the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333375</wp:posOffset>
            </wp:positionV>
            <wp:extent cx="629221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3" w:name="page134"/>
    <w:bookmarkEnd w:id="133"/>
    <w:p>
      <w:pPr>
        <w:ind w:left="814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147955</wp:posOffset>
            </wp:positionV>
            <wp:extent cx="5795010" cy="6172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8">
                      <a:extLst>
                        <a:ext uri="{28A0092B-C50C-407E-A947-70E740481C1C}"/>
                      </a:extLst>
                    </a:blip>
                    <a:srcRect/>
                    <a:stretch>
                      <a:fillRect/>
                    </a:stretch>
                  </pic:blipFill>
                  <pic:spPr bwMode="auto">
                    <a:xfrm>
                      <a:off x="0" y="0"/>
                      <a:ext cx="579501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August 10, 2023</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Mr. Kelly W. Loyd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Evolution Petroleum Corporation</w:t>
      </w:r>
    </w:p>
    <w:p>
      <w:pPr>
        <w:spacing w:after="0" w:line="234" w:lineRule="auto"/>
        <w:rPr>
          <w:sz w:val="20"/>
          <w:szCs w:val="20"/>
          <w:color w:val="auto"/>
        </w:rPr>
      </w:pPr>
      <w:r>
        <w:rPr>
          <w:rFonts w:ascii="Arial" w:cs="Arial" w:eastAsia="Arial" w:hAnsi="Arial"/>
          <w:sz w:val="18"/>
          <w:szCs w:val="18"/>
          <w:color w:val="auto"/>
        </w:rPr>
        <w:t>1155 Dairy Ashford Street, Suite 425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77079</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Dear Mr. Loyd:</w:t>
      </w:r>
    </w:p>
    <w:p>
      <w:pPr>
        <w:spacing w:after="0" w:line="198"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In accordance with your request, we have estimated the proved reserves and future revenue, as of June 30, 2023, to the Evolution Petroleum Corporation (Evolution) interest in certain oil and gas properties located in North Dakota and Wyoming, referred to herein as the Jonah and Williston Assets. We completed our evaluation on or about the date of this letter. It is our understanding that the proved reserves estimated in this report constitute approximately 39 percent of all proved reserves owned by Evolution. The estimates in this report have been prepared in accordance with the definitions and regulations of the U.S. Securities and Exchange Commission (SEC) and, with the exception of the exclusion of future income taxes, conform to the FASB Accounting Standards Codification Topic 932, Extractive Activities—Oil and Gas. Definitions are presented immediately following this letter. This report has been prepared for Evolution's use in filing with the SEC; in our opinion the assumptions, data, methods, and procedures used in the preparation of this report are appropriate for such purpose.</w:t>
      </w:r>
    </w:p>
    <w:p>
      <w:pPr>
        <w:spacing w:after="0" w:line="184"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We estimate the net reserves and future net revenue to the Evolution interest in the Jonah and Williston Assets, as of June 30, 2023, to be: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Net Reserves</w:t>
            </w:r>
          </w:p>
        </w:tc>
        <w:tc>
          <w:tcPr>
            <w:tcW w:w="9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color w:val="auto"/>
              </w:rPr>
              <w:t>Future Net Revenue (M$)</w:t>
            </w:r>
          </w:p>
        </w:tc>
      </w:tr>
      <w:tr>
        <w:trPr>
          <w:trHeight w:val="183"/>
        </w:trPr>
        <w:tc>
          <w:tcPr>
            <w:tcW w:w="2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270"/>
              <w:spacing w:after="0" w:line="183" w:lineRule="exact"/>
              <w:rPr>
                <w:sz w:val="20"/>
                <w:szCs w:val="20"/>
                <w:color w:val="auto"/>
              </w:rPr>
            </w:pPr>
            <w:r>
              <w:rPr>
                <w:rFonts w:ascii="Arial" w:cs="Arial" w:eastAsia="Arial" w:hAnsi="Arial"/>
                <w:sz w:val="18"/>
                <w:szCs w:val="18"/>
                <w:color w:val="auto"/>
              </w:rPr>
              <w:t>Oil</w:t>
            </w:r>
          </w:p>
        </w:tc>
        <w:tc>
          <w:tcPr>
            <w:tcW w:w="260" w:type="dxa"/>
            <w:vAlign w:val="bottom"/>
          </w:tcPr>
          <w:p>
            <w:pPr>
              <w:spacing w:after="0"/>
              <w:rPr>
                <w:sz w:val="15"/>
                <w:szCs w:val="15"/>
                <w:color w:val="auto"/>
              </w:rPr>
            </w:pPr>
          </w:p>
        </w:tc>
        <w:tc>
          <w:tcPr>
            <w:tcW w:w="1160" w:type="dxa"/>
            <w:vAlign w:val="bottom"/>
            <w:gridSpan w:val="2"/>
          </w:tcPr>
          <w:p>
            <w:pPr>
              <w:jc w:val="center"/>
              <w:ind w:right="260"/>
              <w:spacing w:after="0" w:line="183" w:lineRule="exact"/>
              <w:rPr>
                <w:sz w:val="20"/>
                <w:szCs w:val="20"/>
                <w:color w:val="auto"/>
              </w:rPr>
            </w:pPr>
            <w:r>
              <w:rPr>
                <w:rFonts w:ascii="Arial" w:cs="Arial" w:eastAsia="Arial" w:hAnsi="Arial"/>
                <w:sz w:val="18"/>
                <w:szCs w:val="18"/>
                <w:color w:val="auto"/>
              </w:rPr>
              <w:t>NGL</w:t>
            </w:r>
          </w:p>
        </w:tc>
        <w:tc>
          <w:tcPr>
            <w:tcW w:w="920" w:type="dxa"/>
            <w:vAlign w:val="bottom"/>
          </w:tcPr>
          <w:p>
            <w:pPr>
              <w:jc w:val="right"/>
              <w:ind w:right="210"/>
              <w:spacing w:after="0" w:line="183" w:lineRule="exact"/>
              <w:rPr>
                <w:sz w:val="20"/>
                <w:szCs w:val="20"/>
                <w:color w:val="auto"/>
              </w:rPr>
            </w:pPr>
            <w:r>
              <w:rPr>
                <w:rFonts w:ascii="Arial" w:cs="Arial" w:eastAsia="Arial" w:hAnsi="Arial"/>
                <w:sz w:val="18"/>
                <w:szCs w:val="18"/>
                <w:color w:val="auto"/>
              </w:rPr>
              <w:t>Gas</w:t>
            </w: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spacing w:after="0" w:line="183" w:lineRule="exact"/>
              <w:rPr>
                <w:sz w:val="20"/>
                <w:szCs w:val="20"/>
                <w:color w:val="auto"/>
              </w:rPr>
            </w:pPr>
            <w:r>
              <w:rPr>
                <w:rFonts w:ascii="Arial" w:cs="Arial" w:eastAsia="Arial" w:hAnsi="Arial"/>
                <w:sz w:val="18"/>
                <w:szCs w:val="18"/>
                <w:color w:val="auto"/>
              </w:rPr>
              <w:t>Present Worth</w:t>
            </w:r>
          </w:p>
        </w:tc>
      </w:tr>
      <w:tr>
        <w:trPr>
          <w:trHeight w:val="215"/>
        </w:trPr>
        <w:tc>
          <w:tcPr>
            <w:tcW w:w="284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Category</w:t>
            </w:r>
          </w:p>
        </w:tc>
        <w:tc>
          <w:tcPr>
            <w:tcW w:w="260" w:type="dxa"/>
            <w:vAlign w:val="bottom"/>
          </w:tcPr>
          <w:p>
            <w:pPr>
              <w:spacing w:after="0"/>
              <w:rPr>
                <w:sz w:val="18"/>
                <w:szCs w:val="18"/>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(MBBL)</w:t>
            </w:r>
          </w:p>
        </w:tc>
        <w:tc>
          <w:tcPr>
            <w:tcW w:w="260" w:type="dxa"/>
            <w:vAlign w:val="bottom"/>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(MBBL)</w:t>
            </w:r>
          </w:p>
        </w:tc>
        <w:tc>
          <w:tcPr>
            <w:tcW w:w="240" w:type="dxa"/>
            <w:vAlign w:val="bottom"/>
          </w:tcPr>
          <w:p>
            <w:pPr>
              <w:spacing w:after="0"/>
              <w:rPr>
                <w:sz w:val="18"/>
                <w:szCs w:val="18"/>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(MMCF)</w:t>
            </w:r>
          </w:p>
        </w:tc>
        <w:tc>
          <w:tcPr>
            <w:tcW w:w="260" w:type="dxa"/>
            <w:vAlign w:val="bottom"/>
          </w:tcPr>
          <w:p>
            <w:pPr>
              <w:spacing w:after="0"/>
              <w:rPr>
                <w:sz w:val="18"/>
                <w:szCs w:val="18"/>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8"/>
                <w:szCs w:val="18"/>
                <w:color w:val="auto"/>
              </w:rPr>
            </w:pPr>
          </w:p>
        </w:tc>
        <w:tc>
          <w:tcPr>
            <w:tcW w:w="12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at 10%</w:t>
            </w:r>
          </w:p>
        </w:tc>
      </w:tr>
      <w:tr>
        <w:trPr>
          <w:trHeight w:val="386"/>
        </w:trPr>
        <w:tc>
          <w:tcPr>
            <w:tcW w:w="3100" w:type="dxa"/>
            <w:vAlign w:val="bottom"/>
            <w:gridSpan w:val="2"/>
          </w:tcPr>
          <w:p>
            <w:pPr>
              <w:spacing w:after="0"/>
              <w:rPr>
                <w:sz w:val="20"/>
                <w:szCs w:val="20"/>
                <w:color w:val="auto"/>
              </w:rPr>
            </w:pPr>
            <w:r>
              <w:rPr>
                <w:rFonts w:ascii="Arial" w:cs="Arial" w:eastAsia="Arial" w:hAnsi="Arial"/>
                <w:sz w:val="18"/>
                <w:szCs w:val="18"/>
                <w:color w:val="auto"/>
              </w:rPr>
              <w:t>Proved Developed Producing</w:t>
            </w:r>
          </w:p>
        </w:tc>
        <w:tc>
          <w:tcPr>
            <w:tcW w:w="920" w:type="dxa"/>
            <w:vAlign w:val="bottom"/>
          </w:tcPr>
          <w:p>
            <w:pPr>
              <w:jc w:val="right"/>
              <w:spacing w:after="0"/>
              <w:rPr>
                <w:sz w:val="20"/>
                <w:szCs w:val="20"/>
                <w:color w:val="auto"/>
              </w:rPr>
            </w:pPr>
            <w:r>
              <w:rPr>
                <w:rFonts w:ascii="Arial" w:cs="Arial" w:eastAsia="Arial" w:hAnsi="Arial"/>
                <w:sz w:val="18"/>
                <w:szCs w:val="18"/>
                <w:color w:val="auto"/>
              </w:rPr>
              <w:t>1,853.7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709.0</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35,937.7</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227,709.2</w:t>
            </w:r>
          </w:p>
        </w:tc>
        <w:tc>
          <w:tcPr>
            <w:tcW w:w="2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137,105.1</w:t>
            </w:r>
          </w:p>
        </w:tc>
      </w:tr>
      <w:tr>
        <w:trPr>
          <w:trHeight w:val="203"/>
        </w:trPr>
        <w:tc>
          <w:tcPr>
            <w:tcW w:w="3100" w:type="dxa"/>
            <w:vAlign w:val="bottom"/>
            <w:gridSpan w:val="2"/>
          </w:tcPr>
          <w:p>
            <w:pPr>
              <w:spacing w:after="0" w:line="202" w:lineRule="exact"/>
              <w:rPr>
                <w:sz w:val="20"/>
                <w:szCs w:val="20"/>
                <w:color w:val="auto"/>
              </w:rPr>
            </w:pPr>
            <w:r>
              <w:rPr>
                <w:rFonts w:ascii="Arial" w:cs="Arial" w:eastAsia="Arial" w:hAnsi="Arial"/>
                <w:sz w:val="18"/>
                <w:szCs w:val="18"/>
                <w:color w:val="auto"/>
              </w:rPr>
              <w:t>Proved Developed Non-Producing</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122.2</w:t>
            </w: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8.5</w:t>
            </w: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29.9</w:t>
            </w:r>
          </w:p>
        </w:tc>
        <w:tc>
          <w:tcPr>
            <w:tcW w:w="2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3,479.5</w:t>
            </w:r>
          </w:p>
        </w:tc>
        <w:tc>
          <w:tcPr>
            <w:tcW w:w="26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1,057.2</w:t>
            </w:r>
          </w:p>
        </w:tc>
      </w:tr>
      <w:tr>
        <w:trPr>
          <w:trHeight w:val="215"/>
        </w:trPr>
        <w:tc>
          <w:tcPr>
            <w:tcW w:w="3100" w:type="dxa"/>
            <w:vAlign w:val="bottom"/>
            <w:gridSpan w:val="2"/>
          </w:tcPr>
          <w:p>
            <w:pPr>
              <w:spacing w:after="0"/>
              <w:rPr>
                <w:sz w:val="20"/>
                <w:szCs w:val="20"/>
                <w:color w:val="auto"/>
              </w:rPr>
            </w:pPr>
            <w:r>
              <w:rPr>
                <w:rFonts w:ascii="Arial" w:cs="Arial" w:eastAsia="Arial" w:hAnsi="Arial"/>
                <w:sz w:val="18"/>
                <w:szCs w:val="18"/>
                <w:color w:val="auto"/>
              </w:rPr>
              <w:t>Proved Undeveloped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2,588.8</w:t>
            </w:r>
          </w:p>
        </w:tc>
        <w:tc>
          <w:tcPr>
            <w:tcW w:w="2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585.4</w:t>
            </w:r>
          </w:p>
        </w:tc>
        <w:tc>
          <w:tcPr>
            <w:tcW w:w="24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2,430.6</w:t>
            </w:r>
          </w:p>
        </w:tc>
        <w:tc>
          <w:tcPr>
            <w:tcW w:w="26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84,107.9</w:t>
            </w:r>
          </w:p>
        </w:tc>
        <w:tc>
          <w:tcPr>
            <w:tcW w:w="26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26,979.3</w:t>
            </w:r>
          </w:p>
        </w:tc>
      </w:tr>
      <w:tr>
        <w:trPr>
          <w:trHeight w:val="412"/>
        </w:trPr>
        <w:tc>
          <w:tcPr>
            <w:tcW w:w="3100" w:type="dxa"/>
            <w:vAlign w:val="bottom"/>
            <w:gridSpan w:val="2"/>
          </w:tcPr>
          <w:p>
            <w:pPr>
              <w:ind w:left="160"/>
              <w:spacing w:after="0"/>
              <w:rPr>
                <w:sz w:val="20"/>
                <w:szCs w:val="20"/>
                <w:color w:val="auto"/>
              </w:rPr>
            </w:pPr>
            <w:r>
              <w:rPr>
                <w:rFonts w:ascii="Arial" w:cs="Arial" w:eastAsia="Arial" w:hAnsi="Arial"/>
                <w:sz w:val="18"/>
                <w:szCs w:val="18"/>
                <w:color w:val="auto"/>
              </w:rPr>
              <w:t>Total Proved</w:t>
            </w:r>
          </w:p>
        </w:tc>
        <w:tc>
          <w:tcPr>
            <w:tcW w:w="920" w:type="dxa"/>
            <w:vAlign w:val="bottom"/>
          </w:tcPr>
          <w:p>
            <w:pPr>
              <w:jc w:val="right"/>
              <w:spacing w:after="0"/>
              <w:rPr>
                <w:sz w:val="20"/>
                <w:szCs w:val="20"/>
                <w:color w:val="auto"/>
              </w:rPr>
            </w:pPr>
            <w:r>
              <w:rPr>
                <w:rFonts w:ascii="Arial" w:cs="Arial" w:eastAsia="Arial" w:hAnsi="Arial"/>
                <w:sz w:val="18"/>
                <w:szCs w:val="18"/>
                <w:color w:val="auto"/>
              </w:rPr>
              <w:t>4,564.8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1,302.9</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38,398.1</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315,296.6</w:t>
            </w:r>
          </w:p>
        </w:tc>
        <w:tc>
          <w:tcPr>
            <w:tcW w:w="2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165,141.7</w:t>
            </w:r>
          </w:p>
        </w:tc>
      </w:tr>
    </w:tbl>
    <w:p>
      <w:pPr>
        <w:spacing w:after="0" w:line="10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Totals may not add because of rounding.</w:t>
      </w:r>
    </w:p>
    <w:p>
      <w:pPr>
        <w:spacing w:after="0" w:line="193"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The oil volumes shown include crude oil and condensate. Oil and natural gas liquids (NGL) volumes are expressed in thousands of barrels (MBBL); a barrel is equivalent to 42 United States gallons. Gas volumes are expressed in millions of cubic feet (MMCF) at standard temperature and pressure bases.</w:t>
      </w:r>
    </w:p>
    <w:p>
      <w:pPr>
        <w:spacing w:after="0" w:line="171" w:lineRule="exact"/>
        <w:rPr>
          <w:sz w:val="20"/>
          <w:szCs w:val="20"/>
          <w:color w:val="auto"/>
        </w:rPr>
      </w:pPr>
    </w:p>
    <w:p>
      <w:pPr>
        <w:jc w:val="both"/>
        <w:ind w:right="20"/>
        <w:spacing w:after="0" w:line="241" w:lineRule="auto"/>
        <w:rPr>
          <w:sz w:val="20"/>
          <w:szCs w:val="20"/>
          <w:color w:val="auto"/>
        </w:rPr>
      </w:pPr>
      <w:r>
        <w:rPr>
          <w:rFonts w:ascii="Arial" w:cs="Arial" w:eastAsia="Arial" w:hAnsi="Arial"/>
          <w:sz w:val="18"/>
          <w:szCs w:val="18"/>
          <w:color w:val="auto"/>
        </w:rPr>
        <w:t>Reserves categorization conveys the relative degree of certainty; reserves subcategorization is based on development and production status. As requested, probable and possible reserves that exist for these properties have not been included. The estimates of reserves and future revenue included herein have not been adjusted for risk. This report does not include any value that could be attributed to interests in undeveloped acreage beyond those tracts for which undeveloped reserves have been estimated.</w:t>
      </w:r>
    </w:p>
    <w:p>
      <w:pPr>
        <w:spacing w:after="0" w:line="176"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Gross revenue is Evolution's share of the gross (100 percent) revenue from the properties prior to any deductions. Future net revenue is after deductions for Evolution's share of production taxes, ad valorem taxes, capital costs, abandonment costs, and operating expenses but before consideration of any income taxes. The future net revenue has been discounted at an annual rate of 10 percent to determine its present worth, which is shown to indicate the effect of time on the value of money. Future net revenue presented in this report, whether discounted or undiscounted, should not be construed as being the fair market value of the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611505</wp:posOffset>
            </wp:positionV>
            <wp:extent cx="588073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9">
                      <a:extLst>
                        <a:ext uri="{28A0092B-C50C-407E-A947-70E740481C1C}"/>
                      </a:extLst>
                    </a:blip>
                    <a:srcRect/>
                    <a:stretch>
                      <a:fillRect/>
                    </a:stretch>
                  </pic:blipFill>
                  <pic:spPr bwMode="auto">
                    <a:xfrm>
                      <a:off x="0" y="0"/>
                      <a:ext cx="5880735" cy="17145"/>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-5080</wp:posOffset>
            </wp:positionV>
            <wp:extent cx="5760720" cy="2654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0">
                      <a:extLst>
                        <a:ext uri="{28A0092B-C50C-407E-A947-70E740481C1C}"/>
                      </a:extLst>
                    </a:blip>
                    <a:srcRect/>
                    <a:stretch>
                      <a:fillRect/>
                    </a:stretch>
                  </pic:blipFill>
                  <pic:spPr bwMode="auto">
                    <a:xfrm>
                      <a:off x="0" y="0"/>
                      <a:ext cx="5760720" cy="265430"/>
                    </a:xfrm>
                    <a:prstGeom prst="rect">
                      <a:avLst/>
                    </a:prstGeom>
                    <a:noFill/>
                  </pic:spPr>
                </pic:pic>
              </a:graphicData>
            </a:graphic>
          </wp:anchor>
        </w:drawing>
      </w:r>
    </w:p>
    <w:p>
      <w:pPr>
        <w:sectPr>
          <w:pgSz w:w="11900" w:h="16838" w:orient="portrait"/>
          <w:cols w:equalWidth="0" w:num="1">
            <w:col w:w="9260"/>
          </w:cols>
          <w:pgMar w:left="1320" w:top="118" w:right="1319" w:bottom="1440" w:gutter="0" w:footer="0" w:header="0"/>
        </w:sectPr>
      </w:pPr>
    </w:p>
    <w:bookmarkStart w:id="134" w:name="page135"/>
    <w:bookmarkEnd w:id="134"/>
    <w:p>
      <w:pPr>
        <w:spacing w:after="0" w:line="6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833755</wp:posOffset>
            </wp:positionH>
            <wp:positionV relativeFrom="page">
              <wp:posOffset>431800</wp:posOffset>
            </wp:positionV>
            <wp:extent cx="1868805" cy="2571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1">
                      <a:clrChange>
                        <a:clrFrom>
                          <a:srgbClr val="FFFFFF"/>
                        </a:clrFrom>
                        <a:clrTo>
                          <a:srgbClr val="FFFFFF">
                            <a:alpha val="0"/>
                          </a:srgbClr>
                        </a:clrTo>
                      </a:clrChange>
                      <a:extLst>
                        <a:ext uri="{28A0092B-C50C-407E-A947-70E740481C1C}"/>
                      </a:extLst>
                    </a:blip>
                    <a:srcRect/>
                    <a:stretch>
                      <a:fillRect/>
                    </a:stretch>
                  </pic:blipFill>
                  <pic:spPr bwMode="auto">
                    <a:xfrm>
                      <a:off x="0" y="0"/>
                      <a:ext cx="1868805" cy="257175"/>
                    </a:xfrm>
                    <a:prstGeom prst="rect">
                      <a:avLst/>
                    </a:prstGeom>
                    <a:noFill/>
                  </pic:spPr>
                </pic:pic>
              </a:graphicData>
            </a:graphic>
          </wp:anchor>
        </w:drawing>
      </w:r>
    </w:p>
    <w:p>
      <w:pPr>
        <w:jc w:val="both"/>
        <w:spacing w:after="0" w:line="239" w:lineRule="auto"/>
        <w:rPr>
          <w:sz w:val="20"/>
          <w:szCs w:val="20"/>
          <w:color w:val="auto"/>
        </w:rPr>
      </w:pPr>
      <w:r>
        <w:rPr>
          <w:rFonts w:ascii="Arial" w:cs="Arial" w:eastAsia="Arial" w:hAnsi="Arial"/>
          <w:sz w:val="18"/>
          <w:szCs w:val="18"/>
          <w:color w:val="auto"/>
        </w:rPr>
        <w:t>Prices used in this report are based on the 12-month unweighted arithmetic average of the first-day-of-the-month price for each month in the period July 2022 through June 2023. For oil and NGL volumes, the average West Texas Intermediate spot price of $83.23 per barrel is adjusted for quality, transportation fees, and market differentials. For gas volumes, the average Henry Hub spot price of $4.78 per MMBTU is adjusted for energy content, transportation fees, and market differentials. All prices are held constant throughout the lives of the properties. The average adjusted product prices weighted by production over the remaining lives of the properties are $81.76 per barrel of oil, $30.77 per barrel of NGL, and $7.51 per MCF of gas.</w:t>
      </w:r>
    </w:p>
    <w:p>
      <w:pPr>
        <w:spacing w:after="0" w:line="17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Operating costs used in this report are based on operating expense records of Evolution. These costs include the per-well overhead expenses allowed under joint operating agreements along with estimates of costs to be incurred at and below the district and field levels. Operating costs have been divided into per-well costs and per-unit-of-production costs. Since all properties are nonoperated, headquarters general and administrative overhead expenses are not included. Operating costs are not escalated for inflation.</w:t>
      </w:r>
    </w:p>
    <w:p>
      <w:pPr>
        <w:spacing w:after="0" w:line="17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Capital costs used in this report were provided by Evolution and are based on authorizations for expenditure and actual costs from recent activity. Capital costs are included as required for workovers, new development wells, and production equipment. Based on our understanding of future development plans, a review of the records provided to us, and our knowledge of similar properties, we regard these estimated capital costs to be reasonable. Abandonment costs used in this report are Evolution's estimates of the costs to abandon the wells and production facilities, net of any salvage value. Capital costs and abandonment costs are not escalated for inflation.</w:t>
      </w:r>
    </w:p>
    <w:p>
      <w:pPr>
        <w:spacing w:after="0" w:line="18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the purposes of this report, we did not perform any field inspection of the properties, nor did we examine the mechanical operation or condition of the wells and facilities. We have not investigated possible environmental liability related to the properties; therefore, our estimates do not include any costs due to such possible liability.</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have made no investigation of potential volume and value imbalances resulting from overdelivery or underdelivery to the Evolution interest. Therefore, our estimates of reserves and future revenue do not include adjustments for the settlement of any such imbalances; our projections are based on Evolution receiving its net revenue interest share of estimated future gross production. Additionally, we have made no specific investigation of any firm transportation contracts that may be in place for these properties; our estimates of future revenue include the effects of such contracts only to the extent that the associated fees are accounted for in the historical field- and lease-level accounting statements.</w:t>
      </w:r>
    </w:p>
    <w:p>
      <w:pPr>
        <w:spacing w:after="0" w:line="17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reserves shown in this report are estimates only and should not be construed as exact quantities. Proved reserves are those quantities of oil and gas which, by analysis of engineering and geoscience data, can be estimated with reasonable certainty to be economically producible; probable and possible reserves are those additional reserves which are sequentially less certain to be recovered than proved reserves. Estimates of reserves may increase or decrease as a result of market conditions, future operations, changes in regulations, or actual reservoir performance. In addition to the primary economic assumptions discussed herein, our estimates are based on certain assumptions including, but not limited to, that the properties will be developed consistent with current development plans as provided to us by Evolution, that the properties will be operated in a prudent manner, that no governmental regulations or controls will be put in place that would impact the ability of the interest owner to recover the reserves, and that our projections of future production will prove consistent with actual performance. If the reserves are recovered, the revenues therefrom and the costs related thereto could be more or less than the estimated amounts. Because of governmental policies and uncertainties of supply and demand, the sales rates, prices received for the reserves, and costs incurred in recovering such reserves may vary from assumptions made while preparing this report.</w:t>
      </w:r>
    </w:p>
    <w:p>
      <w:pPr>
        <w:spacing w:after="0" w:line="18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For the purposes of this report, we used technical and economic data including, but not limited to, well test data, production data, historical price and cost information, and property ownership interests. The reserves in this report have been estimated using deterministic methods; these estimates have been prepared in accordance with the Standards Pertaining to the Estimating and Auditing of Oil and Gas Reserves Information promulgated by the Society of Petroleum Engineers (SPE Standards). We used standard engineering and geoscience methods, or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462915</wp:posOffset>
            </wp:positionV>
            <wp:extent cx="588073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2">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1440" w:right="1339" w:bottom="1440" w:gutter="0" w:footer="0" w:header="0"/>
        </w:sectPr>
      </w:pPr>
    </w:p>
    <w:bookmarkStart w:id="135" w:name="page136"/>
    <w:bookmarkEnd w:id="135"/>
    <w:p>
      <w:pPr>
        <w:spacing w:after="0" w:line="6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833755</wp:posOffset>
            </wp:positionH>
            <wp:positionV relativeFrom="page">
              <wp:posOffset>431800</wp:posOffset>
            </wp:positionV>
            <wp:extent cx="1868805" cy="2571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3">
                      <a:clrChange>
                        <a:clrFrom>
                          <a:srgbClr val="FFFFFF"/>
                        </a:clrFrom>
                        <a:clrTo>
                          <a:srgbClr val="FFFFFF">
                            <a:alpha val="0"/>
                          </a:srgbClr>
                        </a:clrTo>
                      </a:clrChange>
                      <a:extLst>
                        <a:ext uri="{28A0092B-C50C-407E-A947-70E740481C1C}"/>
                      </a:extLst>
                    </a:blip>
                    <a:srcRect/>
                    <a:stretch>
                      <a:fillRect/>
                    </a:stretch>
                  </pic:blipFill>
                  <pic:spPr bwMode="auto">
                    <a:xfrm>
                      <a:off x="0" y="0"/>
                      <a:ext cx="1868805" cy="257175"/>
                    </a:xfrm>
                    <a:prstGeom prst="rect">
                      <a:avLst/>
                    </a:prstGeom>
                    <a:noFill/>
                  </pic:spPr>
                </pic:pic>
              </a:graphicData>
            </a:graphic>
          </wp:anchor>
        </w:drawing>
      </w:r>
    </w:p>
    <w:p>
      <w:pPr>
        <w:jc w:val="both"/>
        <w:spacing w:after="0" w:line="243" w:lineRule="auto"/>
        <w:rPr>
          <w:sz w:val="20"/>
          <w:szCs w:val="20"/>
          <w:color w:val="auto"/>
        </w:rPr>
      </w:pPr>
      <w:r>
        <w:rPr>
          <w:rFonts w:ascii="Arial" w:cs="Arial" w:eastAsia="Arial" w:hAnsi="Arial"/>
          <w:sz w:val="18"/>
          <w:szCs w:val="18"/>
          <w:color w:val="auto"/>
        </w:rPr>
        <w:t>combination of methods, including performance analysis and analogy, that we considered to be appropriate and necessary to categorize and estimate reserves in accordance with SEC definitions and regulations. As in all aspects of oil and gas evaluation, there are uncertainties inherent in the interpretation of engineering and geoscience data; therefore, our conclusions necessarily represent only informed professional judgment.</w:t>
      </w:r>
    </w:p>
    <w:p>
      <w:pPr>
        <w:spacing w:after="0" w:line="17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data used in our estimates were obtained from Evolution, public data sources, and the nonconfidential files of Netherland, Sewell &amp; Associates, Inc. (NSAI) and were accepted as accurate. Supporting work data are on file in our office. We have not examined the titles to the properties or independently confirmed the actual degree or type of interest owned. The technical person primarily responsible for preparing the estimates presented herein meets the requirements regarding qualifications, independence, objectivity, and confidentiality set forth in the SPE Standards. Matthew D. Pankey, a Licensed Professional Engineer in the State of Texas, has been practicing consulting petroleum engineering at NSAI since 2019 and has over 6 years of prior industry experience. We are independent petroleum engineers, geologists, geophysicists, and petrophysicists; we do not own an interest in these properties nor are we employed on a contingent basis.</w:t>
      </w:r>
    </w:p>
    <w:p>
      <w:pPr>
        <w:spacing w:after="0" w:line="17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Sincerely,</w:t>
      </w:r>
    </w:p>
    <w:p>
      <w:pPr>
        <w:spacing w:after="0" w:line="188"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NETHERLAND, SEWELL &amp; ASSOCIATES, INC.</w:t>
      </w:r>
    </w:p>
    <w:p>
      <w:pPr>
        <w:spacing w:after="0" w:line="1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Texas Registered Engineering Firm F-2699</w:t>
      </w:r>
    </w:p>
    <w:p>
      <w:pPr>
        <w:spacing w:after="0" w:line="38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 Richard B. Talley, Jr.</w:t>
      </w:r>
    </w:p>
    <w:p>
      <w:pPr>
        <w:spacing w:after="0" w:line="3"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By:</w:t>
      </w:r>
    </w:p>
    <w:p>
      <w:pPr>
        <w:ind w:left="4920"/>
        <w:spacing w:after="0" w:line="234" w:lineRule="auto"/>
        <w:rPr>
          <w:sz w:val="20"/>
          <w:szCs w:val="20"/>
          <w:color w:val="auto"/>
        </w:rPr>
      </w:pPr>
      <w:r>
        <w:rPr>
          <w:rFonts w:ascii="Arial" w:cs="Arial" w:eastAsia="Arial" w:hAnsi="Arial"/>
          <w:sz w:val="18"/>
          <w:szCs w:val="18"/>
          <w:color w:val="auto"/>
        </w:rPr>
        <w:t>Richard B. Talley, Jr., P.E.</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 Matthew D. Pankey</w:t>
      </w:r>
    </w:p>
    <w:p>
      <w:pPr>
        <w:spacing w:after="0" w:line="3"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By:</w:t>
      </w:r>
    </w:p>
    <w:p>
      <w:pPr>
        <w:ind w:left="4920"/>
        <w:spacing w:after="0" w:line="234" w:lineRule="auto"/>
        <w:rPr>
          <w:sz w:val="20"/>
          <w:szCs w:val="20"/>
          <w:color w:val="auto"/>
        </w:rPr>
      </w:pPr>
      <w:r>
        <w:rPr>
          <w:rFonts w:ascii="Arial" w:cs="Arial" w:eastAsia="Arial" w:hAnsi="Arial"/>
          <w:sz w:val="18"/>
          <w:szCs w:val="18"/>
          <w:color w:val="auto"/>
        </w:rPr>
        <w:t>Matthew D. Pankey, P.E. 142931</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Petroleum Engineer</w:t>
      </w:r>
    </w:p>
    <w:p>
      <w:pPr>
        <w:spacing w:after="0" w:line="38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Date Signed: August 10, 2023</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MDP:MJM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476885</wp:posOffset>
            </wp:positionV>
            <wp:extent cx="588073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4">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1440" w:right="13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833755</wp:posOffset>
            </wp:positionH>
            <wp:positionV relativeFrom="page">
              <wp:posOffset>337185</wp:posOffset>
            </wp:positionV>
            <wp:extent cx="1868805" cy="2571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5">
                      <a:clrChange>
                        <a:clrFrom>
                          <a:srgbClr val="FFFFFF"/>
                        </a:clrFrom>
                        <a:clrTo>
                          <a:srgbClr val="FFFFFF">
                            <a:alpha val="0"/>
                          </a:srgbClr>
                        </a:clrTo>
                      </a:clrChange>
                      <a:extLst>
                        <a:ext uri="{28A0092B-C50C-407E-A947-70E740481C1C}"/>
                      </a:extLst>
                    </a:blip>
                    <a:srcRect/>
                    <a:stretch>
                      <a:fillRect/>
                    </a:stretch>
                  </pic:blipFill>
                  <pic:spPr bwMode="auto">
                    <a:xfrm>
                      <a:off x="0" y="0"/>
                      <a:ext cx="1868805" cy="257175"/>
                    </a:xfrm>
                    <a:prstGeom prst="rect">
                      <a:avLst/>
                    </a:prstGeom>
                    <a:noFill/>
                  </pic:spPr>
                </pic:pic>
              </a:graphicData>
            </a:graphic>
          </wp:anchor>
        </w:drawing>
        <w:t>DEFINITIONS OF OIL AND GAS RESERVES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Adapted from U.S. Securities and Exchange Commission Regulation S-X Section 210.4-10(a)</w:t>
      </w:r>
    </w:p>
    <w:p>
      <w:pPr>
        <w:spacing w:after="0" w:line="200" w:lineRule="exact"/>
        <w:rPr>
          <w:sz w:val="20"/>
          <w:szCs w:val="20"/>
          <w:color w:val="auto"/>
        </w:rPr>
      </w:pPr>
    </w:p>
    <w:p>
      <w:pPr>
        <w:spacing w:after="0" w:line="232" w:lineRule="exact"/>
        <w:rPr>
          <w:sz w:val="20"/>
          <w:szCs w:val="20"/>
          <w:color w:val="auto"/>
        </w:rPr>
      </w:pPr>
    </w:p>
    <w:p>
      <w:pPr>
        <w:jc w:val="both"/>
        <w:ind w:left="1"/>
        <w:spacing w:after="0" w:line="256" w:lineRule="auto"/>
        <w:rPr>
          <w:sz w:val="20"/>
          <w:szCs w:val="20"/>
          <w:color w:val="auto"/>
        </w:rPr>
      </w:pPr>
      <w:r>
        <w:rPr>
          <w:rFonts w:ascii="Arial" w:cs="Arial" w:eastAsia="Arial" w:hAnsi="Arial"/>
          <w:sz w:val="16"/>
          <w:szCs w:val="16"/>
          <w:color w:val="auto"/>
        </w:rPr>
        <w:t>The following definitions are set forth in U.S. Securities and Exchange Commission (SEC) Regulation S-X Section 210.4-10(a). Also included is supplemental information from (1) the 2018 Petroleum Resources Management System approved by the Society of Petroleum Engineers, (2) the FASB Accounting Standards Codification Topic 932, Extractive Activities—Oil and Gas, and (3) the SEC's Compliance and Disclosure Interpretations.</w:t>
      </w:r>
    </w:p>
    <w:p>
      <w:pPr>
        <w:spacing w:after="0" w:line="88" w:lineRule="exact"/>
        <w:rPr>
          <w:sz w:val="20"/>
          <w:szCs w:val="20"/>
          <w:color w:val="auto"/>
        </w:rPr>
      </w:pPr>
    </w:p>
    <w:p>
      <w:pPr>
        <w:jc w:val="both"/>
        <w:ind w:left="1" w:hanging="1"/>
        <w:spacing w:after="0" w:line="263" w:lineRule="auto"/>
        <w:tabs>
          <w:tab w:leader="none" w:pos="244" w:val="left"/>
        </w:tabs>
        <w:numPr>
          <w:ilvl w:val="0"/>
          <w:numId w:val="75"/>
        </w:numPr>
        <w:rPr>
          <w:rFonts w:ascii="Arial" w:cs="Arial" w:eastAsia="Arial" w:hAnsi="Arial"/>
          <w:sz w:val="16"/>
          <w:szCs w:val="16"/>
          <w:color w:val="auto"/>
        </w:rPr>
      </w:pPr>
      <w:r>
        <w:rPr>
          <w:rFonts w:ascii="Arial" w:cs="Arial" w:eastAsia="Arial" w:hAnsi="Arial"/>
          <w:sz w:val="16"/>
          <w:szCs w:val="16"/>
          <w:i w:val="1"/>
          <w:iCs w:val="1"/>
          <w:color w:val="auto"/>
        </w:rPr>
        <w:t xml:space="preserve">Acquisition of properties. </w:t>
      </w:r>
      <w:r>
        <w:rPr>
          <w:rFonts w:ascii="Arial" w:cs="Arial" w:eastAsia="Arial" w:hAnsi="Arial"/>
          <w:sz w:val="16"/>
          <w:szCs w:val="16"/>
          <w:color w:val="auto"/>
        </w:rPr>
        <w:t>Costs incurred to purchase, lease or otherwise acquire a property, including costs of lease bonuses</w:t>
      </w:r>
      <w:r>
        <w:rPr>
          <w:rFonts w:ascii="Arial" w:cs="Arial" w:eastAsia="Arial" w:hAnsi="Arial"/>
          <w:sz w:val="16"/>
          <w:szCs w:val="16"/>
          <w:i w:val="1"/>
          <w:iCs w:val="1"/>
          <w:color w:val="auto"/>
        </w:rPr>
        <w:t xml:space="preserve"> </w:t>
      </w:r>
      <w:r>
        <w:rPr>
          <w:rFonts w:ascii="Arial" w:cs="Arial" w:eastAsia="Arial" w:hAnsi="Arial"/>
          <w:sz w:val="16"/>
          <w:szCs w:val="16"/>
          <w:color w:val="auto"/>
        </w:rPr>
        <w:t>and options to purchase or lease properties, the portion of costs applicable to minerals when land including mineral rights is purchased in fee, brokers' fees, recording fees, legal costs, and other costs incurred in acquiring properties.</w:t>
      </w:r>
    </w:p>
    <w:p>
      <w:pPr>
        <w:spacing w:after="0" w:line="83" w:lineRule="exact"/>
        <w:rPr>
          <w:rFonts w:ascii="Arial" w:cs="Arial" w:eastAsia="Arial" w:hAnsi="Arial"/>
          <w:sz w:val="16"/>
          <w:szCs w:val="16"/>
          <w:color w:val="auto"/>
        </w:rPr>
      </w:pPr>
    </w:p>
    <w:p>
      <w:pPr>
        <w:jc w:val="both"/>
        <w:ind w:left="1" w:hanging="1"/>
        <w:spacing w:after="0" w:line="255" w:lineRule="auto"/>
        <w:tabs>
          <w:tab w:leader="none" w:pos="271" w:val="left"/>
        </w:tabs>
        <w:numPr>
          <w:ilvl w:val="0"/>
          <w:numId w:val="75"/>
        </w:numPr>
        <w:rPr>
          <w:rFonts w:ascii="Arial" w:cs="Arial" w:eastAsia="Arial" w:hAnsi="Arial"/>
          <w:sz w:val="16"/>
          <w:szCs w:val="16"/>
          <w:color w:val="auto"/>
        </w:rPr>
      </w:pPr>
      <w:r>
        <w:rPr>
          <w:rFonts w:ascii="Arial" w:cs="Arial" w:eastAsia="Arial" w:hAnsi="Arial"/>
          <w:sz w:val="16"/>
          <w:szCs w:val="16"/>
          <w:i w:val="1"/>
          <w:iCs w:val="1"/>
          <w:color w:val="auto"/>
        </w:rPr>
        <w:t>Analogous reservoir</w:t>
      </w:r>
      <w:r>
        <w:rPr>
          <w:rFonts w:ascii="Arial" w:cs="Arial" w:eastAsia="Arial" w:hAnsi="Arial"/>
          <w:sz w:val="16"/>
          <w:szCs w:val="16"/>
          <w:color w:val="auto"/>
        </w:rPr>
        <w:t>. Analogous reservoirs, as used in resources assessments, have similar rock and fluid properties,</w:t>
      </w:r>
      <w:r>
        <w:rPr>
          <w:rFonts w:ascii="Arial" w:cs="Arial" w:eastAsia="Arial" w:hAnsi="Arial"/>
          <w:sz w:val="16"/>
          <w:szCs w:val="16"/>
          <w:i w:val="1"/>
          <w:iCs w:val="1"/>
          <w:color w:val="auto"/>
        </w:rPr>
        <w:t xml:space="preserve"> </w:t>
      </w:r>
      <w:r>
        <w:rPr>
          <w:rFonts w:ascii="Arial" w:cs="Arial" w:eastAsia="Arial" w:hAnsi="Arial"/>
          <w:sz w:val="16"/>
          <w:szCs w:val="16"/>
          <w:color w:val="auto"/>
        </w:rPr>
        <w:t>reservoir conditions (depth, temperature, and pressure) and drive mechanisms, but are typically at a more advanced stage of development than the reservoir of interest and thus may provide concepts to assist in the interpretation of more limited data and estimation of recovery. When used to support proved reserves, an "analogous reservoir" refers to a reservoir that shares the following characteristics with the reservoir of interest:</w:t>
      </w:r>
    </w:p>
    <w:p>
      <w:pPr>
        <w:spacing w:after="0" w:line="93" w:lineRule="exact"/>
        <w:rPr>
          <w:rFonts w:ascii="Arial" w:cs="Arial" w:eastAsia="Arial" w:hAnsi="Arial"/>
          <w:sz w:val="16"/>
          <w:szCs w:val="16"/>
          <w:color w:val="auto"/>
        </w:rPr>
      </w:pPr>
    </w:p>
    <w:p>
      <w:pPr>
        <w:ind w:left="641" w:hanging="317"/>
        <w:spacing w:after="0"/>
        <w:tabs>
          <w:tab w:leader="none" w:pos="641" w:val="left"/>
        </w:tabs>
        <w:numPr>
          <w:ilvl w:val="1"/>
          <w:numId w:val="75"/>
        </w:numPr>
        <w:rPr>
          <w:rFonts w:ascii="Arial" w:cs="Arial" w:eastAsia="Arial" w:hAnsi="Arial"/>
          <w:sz w:val="16"/>
          <w:szCs w:val="16"/>
          <w:color w:val="auto"/>
        </w:rPr>
      </w:pPr>
      <w:r>
        <w:rPr>
          <w:rFonts w:ascii="Arial" w:cs="Arial" w:eastAsia="Arial" w:hAnsi="Arial"/>
          <w:sz w:val="16"/>
          <w:szCs w:val="16"/>
          <w:color w:val="auto"/>
        </w:rPr>
        <w:t>Same geological formation (but not necessarily in pressure communication with the reservoir of interest);</w:t>
      </w:r>
    </w:p>
    <w:p>
      <w:pPr>
        <w:spacing w:after="0" w:line="17" w:lineRule="exact"/>
        <w:rPr>
          <w:rFonts w:ascii="Arial" w:cs="Arial" w:eastAsia="Arial" w:hAnsi="Arial"/>
          <w:sz w:val="16"/>
          <w:szCs w:val="16"/>
          <w:color w:val="auto"/>
        </w:rPr>
      </w:pPr>
    </w:p>
    <w:p>
      <w:pPr>
        <w:ind w:left="641" w:hanging="317"/>
        <w:spacing w:after="0"/>
        <w:tabs>
          <w:tab w:leader="none" w:pos="641" w:val="left"/>
        </w:tabs>
        <w:numPr>
          <w:ilvl w:val="1"/>
          <w:numId w:val="75"/>
        </w:numPr>
        <w:rPr>
          <w:rFonts w:ascii="Arial" w:cs="Arial" w:eastAsia="Arial" w:hAnsi="Arial"/>
          <w:sz w:val="16"/>
          <w:szCs w:val="16"/>
          <w:color w:val="auto"/>
        </w:rPr>
      </w:pPr>
      <w:r>
        <w:rPr>
          <w:rFonts w:ascii="Arial" w:cs="Arial" w:eastAsia="Arial" w:hAnsi="Arial"/>
          <w:sz w:val="16"/>
          <w:szCs w:val="16"/>
          <w:color w:val="auto"/>
        </w:rPr>
        <w:t>Same environment of deposition;</w:t>
      </w:r>
    </w:p>
    <w:p>
      <w:pPr>
        <w:spacing w:after="0" w:line="5" w:lineRule="exact"/>
        <w:rPr>
          <w:rFonts w:ascii="Arial" w:cs="Arial" w:eastAsia="Arial" w:hAnsi="Arial"/>
          <w:sz w:val="16"/>
          <w:szCs w:val="16"/>
          <w:color w:val="auto"/>
        </w:rPr>
      </w:pPr>
    </w:p>
    <w:p>
      <w:pPr>
        <w:ind w:left="641" w:hanging="317"/>
        <w:spacing w:after="0"/>
        <w:tabs>
          <w:tab w:leader="none" w:pos="641" w:val="left"/>
        </w:tabs>
        <w:numPr>
          <w:ilvl w:val="1"/>
          <w:numId w:val="75"/>
        </w:numPr>
        <w:rPr>
          <w:rFonts w:ascii="Arial" w:cs="Arial" w:eastAsia="Arial" w:hAnsi="Arial"/>
          <w:sz w:val="16"/>
          <w:szCs w:val="16"/>
          <w:color w:val="auto"/>
        </w:rPr>
      </w:pPr>
      <w:r>
        <w:rPr>
          <w:rFonts w:ascii="Arial" w:cs="Arial" w:eastAsia="Arial" w:hAnsi="Arial"/>
          <w:sz w:val="16"/>
          <w:szCs w:val="16"/>
          <w:color w:val="auto"/>
        </w:rPr>
        <w:t>Similar geological structure; and</w:t>
      </w:r>
    </w:p>
    <w:p>
      <w:pPr>
        <w:spacing w:after="0" w:line="5" w:lineRule="exact"/>
        <w:rPr>
          <w:rFonts w:ascii="Arial" w:cs="Arial" w:eastAsia="Arial" w:hAnsi="Arial"/>
          <w:sz w:val="16"/>
          <w:szCs w:val="16"/>
          <w:color w:val="auto"/>
        </w:rPr>
      </w:pPr>
    </w:p>
    <w:p>
      <w:pPr>
        <w:ind w:left="641" w:hanging="317"/>
        <w:spacing w:after="0"/>
        <w:tabs>
          <w:tab w:leader="none" w:pos="641" w:val="left"/>
        </w:tabs>
        <w:numPr>
          <w:ilvl w:val="1"/>
          <w:numId w:val="75"/>
        </w:numPr>
        <w:rPr>
          <w:rFonts w:ascii="Arial" w:cs="Arial" w:eastAsia="Arial" w:hAnsi="Arial"/>
          <w:sz w:val="16"/>
          <w:szCs w:val="16"/>
          <w:color w:val="auto"/>
        </w:rPr>
      </w:pPr>
      <w:r>
        <w:rPr>
          <w:rFonts w:ascii="Arial" w:cs="Arial" w:eastAsia="Arial" w:hAnsi="Arial"/>
          <w:sz w:val="16"/>
          <w:szCs w:val="16"/>
          <w:color w:val="auto"/>
        </w:rPr>
        <w:t>Same drive mechanism.</w:t>
      </w:r>
    </w:p>
    <w:p>
      <w:pPr>
        <w:spacing w:after="0" w:line="111" w:lineRule="exact"/>
        <w:rPr>
          <w:sz w:val="20"/>
          <w:szCs w:val="20"/>
          <w:color w:val="auto"/>
        </w:rPr>
      </w:pPr>
    </w:p>
    <w:p>
      <w:pPr>
        <w:ind w:left="1"/>
        <w:spacing w:after="0" w:line="281" w:lineRule="auto"/>
        <w:rPr>
          <w:sz w:val="20"/>
          <w:szCs w:val="20"/>
          <w:color w:val="auto"/>
        </w:rPr>
      </w:pPr>
      <w:r>
        <w:rPr>
          <w:rFonts w:ascii="Arial" w:cs="Arial" w:eastAsia="Arial" w:hAnsi="Arial"/>
          <w:sz w:val="16"/>
          <w:szCs w:val="16"/>
          <w:i w:val="1"/>
          <w:iCs w:val="1"/>
          <w:color w:val="auto"/>
        </w:rPr>
        <w:t>Instruction to paragraph (a)(2)</w:t>
      </w:r>
      <w:r>
        <w:rPr>
          <w:rFonts w:ascii="Arial" w:cs="Arial" w:eastAsia="Arial" w:hAnsi="Arial"/>
          <w:sz w:val="16"/>
          <w:szCs w:val="16"/>
          <w:color w:val="auto"/>
        </w:rPr>
        <w:t>: Reservoir properties must, in the aggregate, be no more favorable in the analog than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reservoir of interest.</w:t>
      </w:r>
    </w:p>
    <w:p>
      <w:pPr>
        <w:spacing w:after="0" w:line="69" w:lineRule="exact"/>
        <w:rPr>
          <w:sz w:val="20"/>
          <w:szCs w:val="20"/>
          <w:color w:val="auto"/>
        </w:rPr>
      </w:pPr>
    </w:p>
    <w:p>
      <w:pPr>
        <w:jc w:val="both"/>
        <w:ind w:left="1" w:hanging="1"/>
        <w:spacing w:after="0" w:line="263" w:lineRule="auto"/>
        <w:tabs>
          <w:tab w:leader="none" w:pos="244" w:val="left"/>
        </w:tabs>
        <w:numPr>
          <w:ilvl w:val="0"/>
          <w:numId w:val="76"/>
        </w:numPr>
        <w:rPr>
          <w:rFonts w:ascii="Arial" w:cs="Arial" w:eastAsia="Arial" w:hAnsi="Arial"/>
          <w:sz w:val="16"/>
          <w:szCs w:val="16"/>
          <w:color w:val="auto"/>
        </w:rPr>
      </w:pPr>
      <w:r>
        <w:rPr>
          <w:rFonts w:ascii="Arial" w:cs="Arial" w:eastAsia="Arial" w:hAnsi="Arial"/>
          <w:sz w:val="16"/>
          <w:szCs w:val="16"/>
          <w:i w:val="1"/>
          <w:iCs w:val="1"/>
          <w:color w:val="auto"/>
        </w:rPr>
        <w:t>Bitumen</w:t>
      </w:r>
      <w:r>
        <w:rPr>
          <w:rFonts w:ascii="Arial" w:cs="Arial" w:eastAsia="Arial" w:hAnsi="Arial"/>
          <w:sz w:val="16"/>
          <w:szCs w:val="16"/>
          <w:color w:val="auto"/>
        </w:rPr>
        <w:t>. Bitumen, sometimes referred to as natural bitumen, is petroleum in a solid or semi-solid state in natural deposits</w:t>
      </w:r>
      <w:r>
        <w:rPr>
          <w:rFonts w:ascii="Arial" w:cs="Arial" w:eastAsia="Arial" w:hAnsi="Arial"/>
          <w:sz w:val="16"/>
          <w:szCs w:val="16"/>
          <w:i w:val="1"/>
          <w:iCs w:val="1"/>
          <w:color w:val="auto"/>
        </w:rPr>
        <w:t xml:space="preserve"> </w:t>
      </w:r>
      <w:r>
        <w:rPr>
          <w:rFonts w:ascii="Arial" w:cs="Arial" w:eastAsia="Arial" w:hAnsi="Arial"/>
          <w:sz w:val="16"/>
          <w:szCs w:val="16"/>
          <w:color w:val="auto"/>
        </w:rPr>
        <w:t>with a viscosity greater than 10,000 centipoise measured at original temperature in the deposit and atmospheric pressure, on a gas free basis. In its natural state it usually contains sulfur, metals, and other non-hydrocarbons.</w:t>
      </w:r>
    </w:p>
    <w:p>
      <w:pPr>
        <w:spacing w:after="0" w:line="83" w:lineRule="exact"/>
        <w:rPr>
          <w:rFonts w:ascii="Arial" w:cs="Arial" w:eastAsia="Arial" w:hAnsi="Arial"/>
          <w:sz w:val="16"/>
          <w:szCs w:val="16"/>
          <w:color w:val="auto"/>
        </w:rPr>
      </w:pPr>
    </w:p>
    <w:p>
      <w:pPr>
        <w:ind w:left="1" w:hanging="1"/>
        <w:spacing w:after="0" w:line="281" w:lineRule="auto"/>
        <w:tabs>
          <w:tab w:leader="none" w:pos="244" w:val="left"/>
        </w:tabs>
        <w:numPr>
          <w:ilvl w:val="0"/>
          <w:numId w:val="76"/>
        </w:numPr>
        <w:rPr>
          <w:rFonts w:ascii="Arial" w:cs="Arial" w:eastAsia="Arial" w:hAnsi="Arial"/>
          <w:sz w:val="16"/>
          <w:szCs w:val="16"/>
          <w:color w:val="auto"/>
        </w:rPr>
      </w:pPr>
      <w:r>
        <w:rPr>
          <w:rFonts w:ascii="Arial" w:cs="Arial" w:eastAsia="Arial" w:hAnsi="Arial"/>
          <w:sz w:val="16"/>
          <w:szCs w:val="16"/>
          <w:i w:val="1"/>
          <w:iCs w:val="1"/>
          <w:color w:val="auto"/>
        </w:rPr>
        <w:t>Condensate</w:t>
      </w:r>
      <w:r>
        <w:rPr>
          <w:rFonts w:ascii="Arial" w:cs="Arial" w:eastAsia="Arial" w:hAnsi="Arial"/>
          <w:sz w:val="16"/>
          <w:szCs w:val="16"/>
          <w:color w:val="auto"/>
        </w:rPr>
        <w:t>. Condensate is a mixture of hydrocarbons that exists in the gaseous phase at original reservoir temperature and</w:t>
      </w:r>
      <w:r>
        <w:rPr>
          <w:rFonts w:ascii="Arial" w:cs="Arial" w:eastAsia="Arial" w:hAnsi="Arial"/>
          <w:sz w:val="16"/>
          <w:szCs w:val="16"/>
          <w:i w:val="1"/>
          <w:iCs w:val="1"/>
          <w:color w:val="auto"/>
        </w:rPr>
        <w:t xml:space="preserve"> </w:t>
      </w:r>
      <w:r>
        <w:rPr>
          <w:rFonts w:ascii="Arial" w:cs="Arial" w:eastAsia="Arial" w:hAnsi="Arial"/>
          <w:sz w:val="16"/>
          <w:szCs w:val="16"/>
          <w:color w:val="auto"/>
        </w:rPr>
        <w:t>pressure, but that, when produced, is in the liquid phase at surface pressure and temperature.</w:t>
      </w:r>
    </w:p>
    <w:p>
      <w:pPr>
        <w:spacing w:after="0" w:line="68" w:lineRule="exact"/>
        <w:rPr>
          <w:rFonts w:ascii="Arial" w:cs="Arial" w:eastAsia="Arial" w:hAnsi="Arial"/>
          <w:sz w:val="16"/>
          <w:szCs w:val="16"/>
          <w:color w:val="auto"/>
        </w:rPr>
      </w:pPr>
    </w:p>
    <w:p>
      <w:pPr>
        <w:jc w:val="both"/>
        <w:ind w:left="1" w:hanging="1"/>
        <w:spacing w:after="0" w:line="263" w:lineRule="auto"/>
        <w:tabs>
          <w:tab w:leader="none" w:pos="244" w:val="left"/>
        </w:tabs>
        <w:numPr>
          <w:ilvl w:val="0"/>
          <w:numId w:val="76"/>
        </w:numPr>
        <w:rPr>
          <w:rFonts w:ascii="Arial" w:cs="Arial" w:eastAsia="Arial" w:hAnsi="Arial"/>
          <w:sz w:val="16"/>
          <w:szCs w:val="16"/>
          <w:color w:val="auto"/>
        </w:rPr>
      </w:pPr>
      <w:r>
        <w:rPr>
          <w:rFonts w:ascii="Arial" w:cs="Arial" w:eastAsia="Arial" w:hAnsi="Arial"/>
          <w:sz w:val="16"/>
          <w:szCs w:val="16"/>
          <w:i w:val="1"/>
          <w:iCs w:val="1"/>
          <w:color w:val="auto"/>
        </w:rPr>
        <w:t>Deterministic estimate</w:t>
      </w:r>
      <w:r>
        <w:rPr>
          <w:rFonts w:ascii="Arial" w:cs="Arial" w:eastAsia="Arial" w:hAnsi="Arial"/>
          <w:sz w:val="16"/>
          <w:szCs w:val="16"/>
          <w:color w:val="auto"/>
        </w:rPr>
        <w:t>. The method of estimating reserves or resources is called deterministic when a single value for each</w:t>
      </w:r>
      <w:r>
        <w:rPr>
          <w:rFonts w:ascii="Arial" w:cs="Arial" w:eastAsia="Arial" w:hAnsi="Arial"/>
          <w:sz w:val="16"/>
          <w:szCs w:val="16"/>
          <w:i w:val="1"/>
          <w:iCs w:val="1"/>
          <w:color w:val="auto"/>
        </w:rPr>
        <w:t xml:space="preserve"> </w:t>
      </w:r>
      <w:r>
        <w:rPr>
          <w:rFonts w:ascii="Arial" w:cs="Arial" w:eastAsia="Arial" w:hAnsi="Arial"/>
          <w:sz w:val="16"/>
          <w:szCs w:val="16"/>
          <w:color w:val="auto"/>
        </w:rPr>
        <w:t>parameter (from the geoscience, engineering, or economic data) in the reserves calculation is used in the reserves estimation procedure.</w:t>
      </w:r>
    </w:p>
    <w:p>
      <w:pPr>
        <w:spacing w:after="0" w:line="83" w:lineRule="exact"/>
        <w:rPr>
          <w:rFonts w:ascii="Arial" w:cs="Arial" w:eastAsia="Arial" w:hAnsi="Arial"/>
          <w:sz w:val="16"/>
          <w:szCs w:val="16"/>
          <w:color w:val="auto"/>
        </w:rPr>
      </w:pPr>
    </w:p>
    <w:p>
      <w:pPr>
        <w:ind w:left="1" w:hanging="1"/>
        <w:spacing w:after="0" w:line="281" w:lineRule="auto"/>
        <w:tabs>
          <w:tab w:leader="none" w:pos="244" w:val="left"/>
        </w:tabs>
        <w:numPr>
          <w:ilvl w:val="0"/>
          <w:numId w:val="76"/>
        </w:numPr>
        <w:rPr>
          <w:rFonts w:ascii="Arial" w:cs="Arial" w:eastAsia="Arial" w:hAnsi="Arial"/>
          <w:sz w:val="16"/>
          <w:szCs w:val="16"/>
          <w:color w:val="auto"/>
        </w:rPr>
      </w:pPr>
      <w:r>
        <w:rPr>
          <w:rFonts w:ascii="Arial" w:cs="Arial" w:eastAsia="Arial" w:hAnsi="Arial"/>
          <w:sz w:val="16"/>
          <w:szCs w:val="16"/>
          <w:i w:val="1"/>
          <w:iCs w:val="1"/>
          <w:color w:val="auto"/>
        </w:rPr>
        <w:t>Developed oil and gas reserves</w:t>
      </w:r>
      <w:r>
        <w:rPr>
          <w:rFonts w:ascii="Arial" w:cs="Arial" w:eastAsia="Arial" w:hAnsi="Arial"/>
          <w:sz w:val="16"/>
          <w:szCs w:val="16"/>
          <w:color w:val="auto"/>
        </w:rPr>
        <w:t>. Developed oil and gas reserves are reserves of any category that can be expected to be</w:t>
      </w:r>
      <w:r>
        <w:rPr>
          <w:rFonts w:ascii="Arial" w:cs="Arial" w:eastAsia="Arial" w:hAnsi="Arial"/>
          <w:sz w:val="16"/>
          <w:szCs w:val="16"/>
          <w:i w:val="1"/>
          <w:iCs w:val="1"/>
          <w:color w:val="auto"/>
        </w:rPr>
        <w:t xml:space="preserve"> </w:t>
      </w:r>
      <w:r>
        <w:rPr>
          <w:rFonts w:ascii="Arial" w:cs="Arial" w:eastAsia="Arial" w:hAnsi="Arial"/>
          <w:sz w:val="16"/>
          <w:szCs w:val="16"/>
          <w:color w:val="auto"/>
        </w:rPr>
        <w:t>recovered:</w:t>
      </w:r>
    </w:p>
    <w:p>
      <w:pPr>
        <w:spacing w:after="0" w:line="72" w:lineRule="exact"/>
        <w:rPr>
          <w:rFonts w:ascii="Arial" w:cs="Arial" w:eastAsia="Arial" w:hAnsi="Arial"/>
          <w:sz w:val="16"/>
          <w:szCs w:val="16"/>
          <w:color w:val="auto"/>
        </w:rPr>
      </w:pPr>
    </w:p>
    <w:p>
      <w:pPr>
        <w:ind w:left="641" w:hanging="317"/>
        <w:spacing w:after="0" w:line="254" w:lineRule="auto"/>
        <w:tabs>
          <w:tab w:leader="none" w:pos="641" w:val="left"/>
        </w:tabs>
        <w:numPr>
          <w:ilvl w:val="1"/>
          <w:numId w:val="76"/>
        </w:numPr>
        <w:rPr>
          <w:rFonts w:ascii="Arial" w:cs="Arial" w:eastAsia="Arial" w:hAnsi="Arial"/>
          <w:sz w:val="16"/>
          <w:szCs w:val="16"/>
          <w:color w:val="auto"/>
        </w:rPr>
      </w:pPr>
      <w:r>
        <w:rPr>
          <w:rFonts w:ascii="Arial" w:cs="Arial" w:eastAsia="Arial" w:hAnsi="Arial"/>
          <w:sz w:val="16"/>
          <w:szCs w:val="16"/>
          <w:color w:val="auto"/>
        </w:rPr>
        <w:t>Through existing wells with existing equipment and operating methods or in which the cost of the required equipment is relatively minor compared to the cost of a new well; and</w:t>
      </w:r>
    </w:p>
    <w:p>
      <w:pPr>
        <w:ind w:left="641" w:hanging="317"/>
        <w:spacing w:after="0" w:line="260" w:lineRule="auto"/>
        <w:tabs>
          <w:tab w:leader="none" w:pos="641" w:val="left"/>
        </w:tabs>
        <w:numPr>
          <w:ilvl w:val="1"/>
          <w:numId w:val="76"/>
        </w:numPr>
        <w:rPr>
          <w:rFonts w:ascii="Arial" w:cs="Arial" w:eastAsia="Arial" w:hAnsi="Arial"/>
          <w:sz w:val="16"/>
          <w:szCs w:val="16"/>
          <w:color w:val="auto"/>
        </w:rPr>
      </w:pPr>
      <w:r>
        <w:rPr>
          <w:rFonts w:ascii="Arial" w:cs="Arial" w:eastAsia="Arial" w:hAnsi="Arial"/>
          <w:sz w:val="16"/>
          <w:szCs w:val="16"/>
          <w:color w:val="auto"/>
        </w:rPr>
        <w:t>Through installed extraction equipment and infrastructure operational at the time of the reserves estimate if the extraction is by means not involving a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53975</wp:posOffset>
            </wp:positionV>
            <wp:extent cx="5554980" cy="12344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6">
                      <a:extLst>
                        <a:ext uri="{28A0092B-C50C-407E-A947-70E740481C1C}"/>
                      </a:extLst>
                    </a:blip>
                    <a:srcRect/>
                    <a:stretch>
                      <a:fillRect/>
                    </a:stretch>
                  </pic:blipFill>
                  <pic:spPr bwMode="auto">
                    <a:xfrm>
                      <a:off x="0" y="0"/>
                      <a:ext cx="5554980" cy="1234440"/>
                    </a:xfrm>
                    <a:prstGeom prst="rect">
                      <a:avLst/>
                    </a:prstGeom>
                    <a:noFill/>
                  </pic:spPr>
                </pic:pic>
              </a:graphicData>
            </a:graphic>
          </wp:anchor>
        </w:drawing>
      </w:r>
    </w:p>
    <w:p>
      <w:pPr>
        <w:spacing w:after="0" w:line="100" w:lineRule="exact"/>
        <w:rPr>
          <w:sz w:val="20"/>
          <w:szCs w:val="20"/>
          <w:color w:val="auto"/>
        </w:rPr>
      </w:pPr>
    </w:p>
    <w:p>
      <w:pPr>
        <w:ind w:left="341"/>
        <w:spacing w:after="0"/>
        <w:rPr>
          <w:sz w:val="20"/>
          <w:szCs w:val="20"/>
          <w:color w:val="auto"/>
        </w:rPr>
      </w:pPr>
      <w:r>
        <w:rPr>
          <w:rFonts w:ascii="Arial" w:cs="Arial" w:eastAsia="Arial" w:hAnsi="Arial"/>
          <w:sz w:val="15"/>
          <w:szCs w:val="15"/>
          <w:i w:val="1"/>
          <w:iCs w:val="1"/>
          <w:color w:val="auto"/>
        </w:rPr>
        <w:t>Supplemental definitions from the 2018 Petroleum Resources Management System:</w:t>
      </w:r>
    </w:p>
    <w:p>
      <w:pPr>
        <w:spacing w:after="0" w:line="98" w:lineRule="exact"/>
        <w:rPr>
          <w:sz w:val="20"/>
          <w:szCs w:val="20"/>
          <w:color w:val="auto"/>
        </w:rPr>
      </w:pPr>
    </w:p>
    <w:p>
      <w:pPr>
        <w:jc w:val="both"/>
        <w:ind w:left="341" w:right="340"/>
        <w:spacing w:after="0" w:line="244" w:lineRule="auto"/>
        <w:rPr>
          <w:sz w:val="20"/>
          <w:szCs w:val="20"/>
          <w:color w:val="auto"/>
        </w:rPr>
      </w:pPr>
      <w:r>
        <w:rPr>
          <w:rFonts w:ascii="Arial" w:cs="Arial" w:eastAsia="Arial" w:hAnsi="Arial"/>
          <w:sz w:val="15"/>
          <w:szCs w:val="15"/>
          <w:i w:val="1"/>
          <w:iCs w:val="1"/>
          <w:color w:val="auto"/>
        </w:rPr>
        <w:t>Developed Producing Reserves – Expected quantities to be recovered from completion intervals that are open and producing at the effective date of the estimate. Improved recovery Reserves are considered producing only after the improved recovery project is in operation.</w:t>
      </w:r>
    </w:p>
    <w:p>
      <w:pPr>
        <w:spacing w:after="0" w:line="68" w:lineRule="exact"/>
        <w:rPr>
          <w:sz w:val="20"/>
          <w:szCs w:val="20"/>
          <w:color w:val="auto"/>
        </w:rPr>
      </w:pPr>
    </w:p>
    <w:p>
      <w:pPr>
        <w:jc w:val="both"/>
        <w:ind w:left="341" w:right="340"/>
        <w:spacing w:after="0" w:line="234" w:lineRule="auto"/>
        <w:rPr>
          <w:sz w:val="20"/>
          <w:szCs w:val="20"/>
          <w:color w:val="auto"/>
        </w:rPr>
      </w:pPr>
      <w:r>
        <w:rPr>
          <w:rFonts w:ascii="Arial" w:cs="Arial" w:eastAsia="Arial" w:hAnsi="Arial"/>
          <w:sz w:val="15"/>
          <w:szCs w:val="15"/>
          <w:i w:val="1"/>
          <w:iCs w:val="1"/>
          <w:color w:val="auto"/>
        </w:rPr>
        <w:t>Developed Non-Producing Reserves – Shut-in and behind-pipe Reserves. Shut-in Reserves are expected to be recovered from (1) completion intervals that are open at the time of the estimate but which have not yet started producing, (2) wells which were shut-in for market conditions or pipeline connections, or (3) wells not capable of production for mechanical reasons. Behind-pipe Reserves are expected to be recovered from zones in existing wells that will require additional completion work or future re-completion before start of production with minor cost to access these reserves. In all cases, production can be initiated or restored with relatively low expenditure compared to the cost of drilling a new well.</w:t>
      </w:r>
    </w:p>
    <w:p>
      <w:pPr>
        <w:spacing w:after="0" w:line="144" w:lineRule="exact"/>
        <w:rPr>
          <w:sz w:val="20"/>
          <w:szCs w:val="20"/>
          <w:color w:val="auto"/>
        </w:rPr>
      </w:pPr>
    </w:p>
    <w:p>
      <w:pPr>
        <w:jc w:val="both"/>
        <w:ind w:left="1" w:hanging="1"/>
        <w:spacing w:after="0" w:line="263" w:lineRule="auto"/>
        <w:tabs>
          <w:tab w:leader="none" w:pos="271" w:val="left"/>
        </w:tabs>
        <w:numPr>
          <w:ilvl w:val="0"/>
          <w:numId w:val="77"/>
        </w:numPr>
        <w:rPr>
          <w:rFonts w:ascii="Arial" w:cs="Arial" w:eastAsia="Arial" w:hAnsi="Arial"/>
          <w:sz w:val="16"/>
          <w:szCs w:val="16"/>
          <w:color w:val="auto"/>
        </w:rPr>
      </w:pPr>
      <w:r>
        <w:rPr>
          <w:rFonts w:ascii="Arial" w:cs="Arial" w:eastAsia="Arial" w:hAnsi="Arial"/>
          <w:sz w:val="16"/>
          <w:szCs w:val="16"/>
          <w:i w:val="1"/>
          <w:iCs w:val="1"/>
          <w:color w:val="auto"/>
        </w:rPr>
        <w:t xml:space="preserve">Development costs. </w:t>
      </w:r>
      <w:r>
        <w:rPr>
          <w:rFonts w:ascii="Arial" w:cs="Arial" w:eastAsia="Arial" w:hAnsi="Arial"/>
          <w:sz w:val="16"/>
          <w:szCs w:val="16"/>
          <w:color w:val="auto"/>
        </w:rPr>
        <w:t>Costs incurred to obtain access to proved reserves and to provide facilities for extracting, treating,</w:t>
      </w:r>
      <w:r>
        <w:rPr>
          <w:rFonts w:ascii="Arial" w:cs="Arial" w:eastAsia="Arial" w:hAnsi="Arial"/>
          <w:sz w:val="16"/>
          <w:szCs w:val="16"/>
          <w:i w:val="1"/>
          <w:iCs w:val="1"/>
          <w:color w:val="auto"/>
        </w:rPr>
        <w:t xml:space="preserve"> </w:t>
      </w:r>
      <w:r>
        <w:rPr>
          <w:rFonts w:ascii="Arial" w:cs="Arial" w:eastAsia="Arial" w:hAnsi="Arial"/>
          <w:sz w:val="16"/>
          <w:szCs w:val="16"/>
          <w:color w:val="auto"/>
        </w:rPr>
        <w:t>gathering and storing the oil and gas. More specifically, development costs, including depreciation and applicable operating costs of support equipment and facilities and other costs of development activities, are costs incurred to:</w:t>
      </w:r>
    </w:p>
    <w:p>
      <w:pPr>
        <w:spacing w:after="0" w:line="87" w:lineRule="exact"/>
        <w:rPr>
          <w:rFonts w:ascii="Arial" w:cs="Arial" w:eastAsia="Arial" w:hAnsi="Arial"/>
          <w:sz w:val="16"/>
          <w:szCs w:val="16"/>
          <w:color w:val="auto"/>
        </w:rPr>
      </w:pPr>
    </w:p>
    <w:p>
      <w:pPr>
        <w:jc w:val="both"/>
        <w:ind w:left="641" w:hanging="317"/>
        <w:spacing w:after="0" w:line="251" w:lineRule="auto"/>
        <w:tabs>
          <w:tab w:leader="none" w:pos="641" w:val="left"/>
        </w:tabs>
        <w:numPr>
          <w:ilvl w:val="1"/>
          <w:numId w:val="77"/>
        </w:numPr>
        <w:rPr>
          <w:rFonts w:ascii="Arial" w:cs="Arial" w:eastAsia="Arial" w:hAnsi="Arial"/>
          <w:sz w:val="16"/>
          <w:szCs w:val="16"/>
          <w:color w:val="auto"/>
        </w:rPr>
      </w:pPr>
      <w:r>
        <w:rPr>
          <w:rFonts w:ascii="Arial" w:cs="Arial" w:eastAsia="Arial" w:hAnsi="Arial"/>
          <w:sz w:val="16"/>
          <w:szCs w:val="16"/>
          <w:color w:val="auto"/>
        </w:rPr>
        <w:t>Gain access to and prepare well locations for drilling, including surveying well locations for the purpose of determining specific development drilling sites, clearing ground, draining, road building, and relocating public roads, gas lines, and power lines, to the extent necessary in developing the proved reserves.</w:t>
      </w:r>
    </w:p>
    <w:p>
      <w:pPr>
        <w:spacing w:after="0" w:line="1" w:lineRule="exact"/>
        <w:rPr>
          <w:rFonts w:ascii="Arial" w:cs="Arial" w:eastAsia="Arial" w:hAnsi="Arial"/>
          <w:sz w:val="16"/>
          <w:szCs w:val="16"/>
          <w:color w:val="auto"/>
        </w:rPr>
      </w:pPr>
    </w:p>
    <w:p>
      <w:pPr>
        <w:ind w:left="641" w:hanging="317"/>
        <w:spacing w:after="0" w:line="246" w:lineRule="auto"/>
        <w:tabs>
          <w:tab w:leader="none" w:pos="641" w:val="left"/>
        </w:tabs>
        <w:numPr>
          <w:ilvl w:val="1"/>
          <w:numId w:val="77"/>
        </w:numPr>
        <w:rPr>
          <w:rFonts w:ascii="Arial" w:cs="Arial" w:eastAsia="Arial" w:hAnsi="Arial"/>
          <w:sz w:val="16"/>
          <w:szCs w:val="16"/>
          <w:color w:val="auto"/>
        </w:rPr>
      </w:pPr>
      <w:r>
        <w:rPr>
          <w:rFonts w:ascii="Arial" w:cs="Arial" w:eastAsia="Arial" w:hAnsi="Arial"/>
          <w:sz w:val="16"/>
          <w:szCs w:val="16"/>
          <w:color w:val="auto"/>
        </w:rPr>
        <w:t>Drill and equip development wells, development-type stratigraphic test wells, and service wells, including the costs of platforms and of well equipment such as casing, tubing, pumping equipment, and the wellhead assembly.</w:t>
      </w:r>
    </w:p>
    <w:p>
      <w:pPr>
        <w:jc w:val="both"/>
        <w:ind w:left="641" w:hanging="317"/>
        <w:spacing w:after="0" w:line="253" w:lineRule="auto"/>
        <w:tabs>
          <w:tab w:leader="none" w:pos="641" w:val="left"/>
        </w:tabs>
        <w:numPr>
          <w:ilvl w:val="1"/>
          <w:numId w:val="77"/>
        </w:numPr>
        <w:rPr>
          <w:rFonts w:ascii="Arial" w:cs="Arial" w:eastAsia="Arial" w:hAnsi="Arial"/>
          <w:sz w:val="16"/>
          <w:szCs w:val="16"/>
          <w:color w:val="auto"/>
        </w:rPr>
      </w:pPr>
      <w:r>
        <w:rPr>
          <w:rFonts w:ascii="Arial" w:cs="Arial" w:eastAsia="Arial" w:hAnsi="Arial"/>
          <w:sz w:val="16"/>
          <w:szCs w:val="16"/>
          <w:color w:val="auto"/>
        </w:rPr>
        <w:t>Acquire, construct, and install production facilities such as lease flow lines, separators, treaters, heaters, manifolds, measuring devices, and production storage tanks, natural gas cycling and processing plants, and central utility and waste disposal systems.</w:t>
      </w:r>
    </w:p>
    <w:p>
      <w:pPr>
        <w:spacing w:after="0" w:line="108" w:lineRule="exact"/>
        <w:rPr>
          <w:sz w:val="20"/>
          <w:szCs w:val="20"/>
          <w:color w:val="auto"/>
        </w:rPr>
      </w:pPr>
    </w:p>
    <w:p>
      <w:pPr>
        <w:ind w:left="7521"/>
        <w:spacing w:after="0"/>
        <w:rPr>
          <w:sz w:val="20"/>
          <w:szCs w:val="20"/>
          <w:color w:val="auto"/>
        </w:rPr>
      </w:pPr>
      <w:r>
        <w:rPr>
          <w:rFonts w:ascii="Arial" w:cs="Arial" w:eastAsia="Arial" w:hAnsi="Arial"/>
          <w:sz w:val="16"/>
          <w:szCs w:val="16"/>
          <w:color w:val="auto"/>
        </w:rPr>
        <w:t>Definitions - Page 1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352425</wp:posOffset>
            </wp:positionV>
            <wp:extent cx="588073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7">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1"/>
          </w:cols>
          <w:pgMar w:left="1319" w:top="1016" w:right="13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833755</wp:posOffset>
            </wp:positionH>
            <wp:positionV relativeFrom="page">
              <wp:posOffset>337185</wp:posOffset>
            </wp:positionV>
            <wp:extent cx="1868805" cy="2571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8">
                      <a:clrChange>
                        <a:clrFrom>
                          <a:srgbClr val="FFFFFF"/>
                        </a:clrFrom>
                        <a:clrTo>
                          <a:srgbClr val="FFFFFF">
                            <a:alpha val="0"/>
                          </a:srgbClr>
                        </a:clrTo>
                      </a:clrChange>
                      <a:extLst>
                        <a:ext uri="{28A0092B-C50C-407E-A947-70E740481C1C}"/>
                      </a:extLst>
                    </a:blip>
                    <a:srcRect/>
                    <a:stretch>
                      <a:fillRect/>
                    </a:stretch>
                  </pic:blipFill>
                  <pic:spPr bwMode="auto">
                    <a:xfrm>
                      <a:off x="0" y="0"/>
                      <a:ext cx="1868805" cy="257175"/>
                    </a:xfrm>
                    <a:prstGeom prst="rect">
                      <a:avLst/>
                    </a:prstGeom>
                    <a:noFill/>
                  </pic:spPr>
                </pic:pic>
              </a:graphicData>
            </a:graphic>
          </wp:anchor>
        </w:drawing>
        <w:t>DEFINITIONS OF OIL AND GAS RESERVES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Adapted from U.S. Securities and Exchange Commission Regulation S-X Section 210.4-10(a)</w:t>
      </w:r>
    </w:p>
    <w:p>
      <w:pPr>
        <w:spacing w:after="0" w:line="200" w:lineRule="exact"/>
        <w:rPr>
          <w:sz w:val="20"/>
          <w:szCs w:val="20"/>
          <w:color w:val="auto"/>
        </w:rPr>
      </w:pPr>
    </w:p>
    <w:p>
      <w:pPr>
        <w:spacing w:after="0" w:line="232" w:lineRule="exact"/>
        <w:rPr>
          <w:sz w:val="20"/>
          <w:szCs w:val="20"/>
          <w:color w:val="auto"/>
        </w:rPr>
      </w:pPr>
    </w:p>
    <w:p>
      <w:pPr>
        <w:ind w:left="641" w:hanging="317"/>
        <w:spacing w:after="0"/>
        <w:tabs>
          <w:tab w:leader="none" w:pos="641" w:val="left"/>
        </w:tabs>
        <w:numPr>
          <w:ilvl w:val="1"/>
          <w:numId w:val="78"/>
        </w:numPr>
        <w:rPr>
          <w:rFonts w:ascii="Arial" w:cs="Arial" w:eastAsia="Arial" w:hAnsi="Arial"/>
          <w:sz w:val="16"/>
          <w:szCs w:val="16"/>
          <w:color w:val="auto"/>
        </w:rPr>
      </w:pPr>
      <w:r>
        <w:rPr>
          <w:rFonts w:ascii="Arial" w:cs="Arial" w:eastAsia="Arial" w:hAnsi="Arial"/>
          <w:sz w:val="16"/>
          <w:szCs w:val="16"/>
          <w:color w:val="auto"/>
        </w:rPr>
        <w:t>Provide improved recovery systems.</w:t>
      </w:r>
    </w:p>
    <w:p>
      <w:pPr>
        <w:spacing w:after="0" w:line="122" w:lineRule="exact"/>
        <w:rPr>
          <w:rFonts w:ascii="Arial" w:cs="Arial" w:eastAsia="Arial" w:hAnsi="Arial"/>
          <w:sz w:val="16"/>
          <w:szCs w:val="16"/>
          <w:color w:val="auto"/>
        </w:rPr>
      </w:pPr>
    </w:p>
    <w:p>
      <w:pPr>
        <w:jc w:val="both"/>
        <w:ind w:left="1" w:hanging="1"/>
        <w:spacing w:after="0" w:line="258" w:lineRule="auto"/>
        <w:tabs>
          <w:tab w:leader="none" w:pos="271" w:val="left"/>
        </w:tabs>
        <w:numPr>
          <w:ilvl w:val="0"/>
          <w:numId w:val="79"/>
        </w:numPr>
        <w:rPr>
          <w:rFonts w:ascii="Arial" w:cs="Arial" w:eastAsia="Arial" w:hAnsi="Arial"/>
          <w:sz w:val="16"/>
          <w:szCs w:val="16"/>
          <w:color w:val="auto"/>
        </w:rPr>
      </w:pPr>
      <w:r>
        <w:rPr>
          <w:rFonts w:ascii="Arial" w:cs="Arial" w:eastAsia="Arial" w:hAnsi="Arial"/>
          <w:sz w:val="16"/>
          <w:szCs w:val="16"/>
          <w:i w:val="1"/>
          <w:iCs w:val="1"/>
          <w:color w:val="auto"/>
        </w:rPr>
        <w:t>Development project</w:t>
      </w:r>
      <w:r>
        <w:rPr>
          <w:rFonts w:ascii="Arial" w:cs="Arial" w:eastAsia="Arial" w:hAnsi="Arial"/>
          <w:sz w:val="16"/>
          <w:szCs w:val="16"/>
          <w:color w:val="auto"/>
        </w:rPr>
        <w:t>. A development project is the means by which petroleum resources are brought to the status of</w:t>
      </w:r>
      <w:r>
        <w:rPr>
          <w:rFonts w:ascii="Arial" w:cs="Arial" w:eastAsia="Arial" w:hAnsi="Arial"/>
          <w:sz w:val="16"/>
          <w:szCs w:val="16"/>
          <w:i w:val="1"/>
          <w:iCs w:val="1"/>
          <w:color w:val="auto"/>
        </w:rPr>
        <w:t xml:space="preserve"> </w:t>
      </w:r>
      <w:r>
        <w:rPr>
          <w:rFonts w:ascii="Arial" w:cs="Arial" w:eastAsia="Arial" w:hAnsi="Arial"/>
          <w:sz w:val="16"/>
          <w:szCs w:val="16"/>
          <w:color w:val="auto"/>
        </w:rPr>
        <w:t>economically producible. As examples, the development of a single reservoir or field, an incremental development in a producing field, or the integrated development of a group of several fields and associated facilities with a common ownership may constitute a development project.</w:t>
      </w:r>
    </w:p>
    <w:p>
      <w:pPr>
        <w:spacing w:after="0" w:line="86" w:lineRule="exact"/>
        <w:rPr>
          <w:rFonts w:ascii="Arial" w:cs="Arial" w:eastAsia="Arial" w:hAnsi="Arial"/>
          <w:sz w:val="16"/>
          <w:szCs w:val="16"/>
          <w:color w:val="auto"/>
        </w:rPr>
      </w:pPr>
    </w:p>
    <w:p>
      <w:pPr>
        <w:ind w:left="1" w:hanging="1"/>
        <w:spacing w:after="0" w:line="281" w:lineRule="auto"/>
        <w:tabs>
          <w:tab w:leader="none" w:pos="244" w:val="left"/>
        </w:tabs>
        <w:numPr>
          <w:ilvl w:val="0"/>
          <w:numId w:val="79"/>
        </w:numPr>
        <w:rPr>
          <w:rFonts w:ascii="Arial" w:cs="Arial" w:eastAsia="Arial" w:hAnsi="Arial"/>
          <w:sz w:val="16"/>
          <w:szCs w:val="16"/>
          <w:color w:val="auto"/>
        </w:rPr>
      </w:pPr>
      <w:r>
        <w:rPr>
          <w:rFonts w:ascii="Arial" w:cs="Arial" w:eastAsia="Arial" w:hAnsi="Arial"/>
          <w:sz w:val="16"/>
          <w:szCs w:val="16"/>
          <w:i w:val="1"/>
          <w:iCs w:val="1"/>
          <w:color w:val="auto"/>
        </w:rPr>
        <w:t>Development well</w:t>
      </w:r>
      <w:r>
        <w:rPr>
          <w:rFonts w:ascii="Arial" w:cs="Arial" w:eastAsia="Arial" w:hAnsi="Arial"/>
          <w:sz w:val="16"/>
          <w:szCs w:val="16"/>
          <w:color w:val="auto"/>
        </w:rPr>
        <w:t>. A well drilled within the proved area of an oil or gas reservoir to the depth of a stratigraphic horizon known</w:t>
      </w:r>
      <w:r>
        <w:rPr>
          <w:rFonts w:ascii="Arial" w:cs="Arial" w:eastAsia="Arial" w:hAnsi="Arial"/>
          <w:sz w:val="16"/>
          <w:szCs w:val="16"/>
          <w:i w:val="1"/>
          <w:iCs w:val="1"/>
          <w:color w:val="auto"/>
        </w:rPr>
        <w:t xml:space="preserve"> </w:t>
      </w:r>
      <w:r>
        <w:rPr>
          <w:rFonts w:ascii="Arial" w:cs="Arial" w:eastAsia="Arial" w:hAnsi="Arial"/>
          <w:sz w:val="16"/>
          <w:szCs w:val="16"/>
          <w:color w:val="auto"/>
        </w:rPr>
        <w:t>to be productive.</w:t>
      </w:r>
    </w:p>
    <w:p>
      <w:pPr>
        <w:spacing w:after="0" w:line="68" w:lineRule="exact"/>
        <w:rPr>
          <w:rFonts w:ascii="Arial" w:cs="Arial" w:eastAsia="Arial" w:hAnsi="Arial"/>
          <w:sz w:val="16"/>
          <w:szCs w:val="16"/>
          <w:color w:val="auto"/>
        </w:rPr>
      </w:pPr>
    </w:p>
    <w:p>
      <w:pPr>
        <w:jc w:val="both"/>
        <w:ind w:left="1" w:hanging="1"/>
        <w:spacing w:after="0" w:line="260" w:lineRule="auto"/>
        <w:tabs>
          <w:tab w:leader="none" w:pos="334" w:val="left"/>
        </w:tabs>
        <w:numPr>
          <w:ilvl w:val="0"/>
          <w:numId w:val="79"/>
        </w:numPr>
        <w:rPr>
          <w:rFonts w:ascii="Arial" w:cs="Arial" w:eastAsia="Arial" w:hAnsi="Arial"/>
          <w:sz w:val="16"/>
          <w:szCs w:val="16"/>
          <w:color w:val="auto"/>
        </w:rPr>
      </w:pPr>
      <w:r>
        <w:rPr>
          <w:rFonts w:ascii="Arial" w:cs="Arial" w:eastAsia="Arial" w:hAnsi="Arial"/>
          <w:sz w:val="16"/>
          <w:szCs w:val="16"/>
          <w:i w:val="1"/>
          <w:iCs w:val="1"/>
          <w:color w:val="auto"/>
        </w:rPr>
        <w:t>Economically producible</w:t>
      </w:r>
      <w:r>
        <w:rPr>
          <w:rFonts w:ascii="Arial" w:cs="Arial" w:eastAsia="Arial" w:hAnsi="Arial"/>
          <w:sz w:val="16"/>
          <w:szCs w:val="16"/>
          <w:color w:val="auto"/>
        </w:rPr>
        <w:t>. The term economically producible, as it relates to a resource, means a resource which generates</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that exceeds, or is reasonably expected to exceed, the costs of the operation. The value of the products that generate revenue shall be determined at the terminal point of oil and gas producing activities as defined in paragraph (a)(16) of this section.</w:t>
      </w:r>
    </w:p>
    <w:p>
      <w:pPr>
        <w:spacing w:after="0" w:line="279" w:lineRule="exact"/>
        <w:rPr>
          <w:rFonts w:ascii="Arial" w:cs="Arial" w:eastAsia="Arial" w:hAnsi="Arial"/>
          <w:sz w:val="16"/>
          <w:szCs w:val="16"/>
          <w:color w:val="auto"/>
        </w:rPr>
      </w:pPr>
    </w:p>
    <w:p>
      <w:pPr>
        <w:ind w:left="1" w:hanging="1"/>
        <w:spacing w:after="0" w:line="281" w:lineRule="auto"/>
        <w:tabs>
          <w:tab w:leader="none" w:pos="336" w:val="left"/>
        </w:tabs>
        <w:numPr>
          <w:ilvl w:val="0"/>
          <w:numId w:val="79"/>
        </w:numPr>
        <w:rPr>
          <w:rFonts w:ascii="Arial" w:cs="Arial" w:eastAsia="Arial" w:hAnsi="Arial"/>
          <w:sz w:val="16"/>
          <w:szCs w:val="16"/>
          <w:color w:val="auto"/>
        </w:rPr>
      </w:pPr>
      <w:r>
        <w:rPr>
          <w:rFonts w:ascii="Arial" w:cs="Arial" w:eastAsia="Arial" w:hAnsi="Arial"/>
          <w:sz w:val="16"/>
          <w:szCs w:val="16"/>
          <w:i w:val="1"/>
          <w:iCs w:val="1"/>
          <w:color w:val="auto"/>
        </w:rPr>
        <w:t>Estimated ultimate recovery (EUR)</w:t>
      </w:r>
      <w:r>
        <w:rPr>
          <w:rFonts w:ascii="Arial" w:cs="Arial" w:eastAsia="Arial" w:hAnsi="Arial"/>
          <w:sz w:val="16"/>
          <w:szCs w:val="16"/>
          <w:color w:val="auto"/>
        </w:rPr>
        <w:t>. Estimated ultimate recovery is the sum of reserves remaining as of a given date and</w:t>
      </w:r>
      <w:r>
        <w:rPr>
          <w:rFonts w:ascii="Arial" w:cs="Arial" w:eastAsia="Arial" w:hAnsi="Arial"/>
          <w:sz w:val="16"/>
          <w:szCs w:val="16"/>
          <w:i w:val="1"/>
          <w:iCs w:val="1"/>
          <w:color w:val="auto"/>
        </w:rPr>
        <w:t xml:space="preserve"> </w:t>
      </w:r>
      <w:r>
        <w:rPr>
          <w:rFonts w:ascii="Arial" w:cs="Arial" w:eastAsia="Arial" w:hAnsi="Arial"/>
          <w:sz w:val="16"/>
          <w:szCs w:val="16"/>
          <w:color w:val="auto"/>
        </w:rPr>
        <w:t>cumulative production as of that date.</w:t>
      </w:r>
    </w:p>
    <w:p>
      <w:pPr>
        <w:spacing w:after="0" w:line="68" w:lineRule="exact"/>
        <w:rPr>
          <w:rFonts w:ascii="Arial" w:cs="Arial" w:eastAsia="Arial" w:hAnsi="Arial"/>
          <w:sz w:val="16"/>
          <w:szCs w:val="16"/>
          <w:color w:val="auto"/>
        </w:rPr>
      </w:pPr>
    </w:p>
    <w:p>
      <w:pPr>
        <w:jc w:val="both"/>
        <w:ind w:left="1" w:hanging="1"/>
        <w:spacing w:after="0" w:line="255" w:lineRule="auto"/>
        <w:tabs>
          <w:tab w:leader="none" w:pos="334" w:val="left"/>
        </w:tabs>
        <w:numPr>
          <w:ilvl w:val="0"/>
          <w:numId w:val="79"/>
        </w:numPr>
        <w:rPr>
          <w:rFonts w:ascii="Arial" w:cs="Arial" w:eastAsia="Arial" w:hAnsi="Arial"/>
          <w:sz w:val="16"/>
          <w:szCs w:val="16"/>
          <w:color w:val="auto"/>
        </w:rPr>
      </w:pPr>
      <w:r>
        <w:rPr>
          <w:rFonts w:ascii="Arial" w:cs="Arial" w:eastAsia="Arial" w:hAnsi="Arial"/>
          <w:sz w:val="16"/>
          <w:szCs w:val="16"/>
          <w:i w:val="1"/>
          <w:iCs w:val="1"/>
          <w:color w:val="auto"/>
        </w:rPr>
        <w:t>Exploration costs</w:t>
      </w:r>
      <w:r>
        <w:rPr>
          <w:rFonts w:ascii="Arial" w:cs="Arial" w:eastAsia="Arial" w:hAnsi="Arial"/>
          <w:sz w:val="16"/>
          <w:szCs w:val="16"/>
          <w:color w:val="auto"/>
        </w:rPr>
        <w:t>. Costs incurred in identifying areas that may warrant examination and in examining specific areas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considered to have prospects of containing oil and gas reserves, including costs of drilling exploratory wells and exploratory-type stratigraphic test wells. Exploration costs may be incurred both before acquiring the related property (sometimes referred to in part as prospecting costs) and after acquiring the property. Principal types of exploration costs, which include depreciation and applicable operating costs of support equipment and facilities and other costs of exploration activities, are:</w:t>
      </w:r>
    </w:p>
    <w:p>
      <w:pPr>
        <w:spacing w:after="0" w:line="93" w:lineRule="exact"/>
        <w:rPr>
          <w:rFonts w:ascii="Arial" w:cs="Arial" w:eastAsia="Arial" w:hAnsi="Arial"/>
          <w:sz w:val="16"/>
          <w:szCs w:val="16"/>
          <w:color w:val="auto"/>
        </w:rPr>
      </w:pPr>
    </w:p>
    <w:p>
      <w:pPr>
        <w:jc w:val="both"/>
        <w:ind w:left="641" w:hanging="317"/>
        <w:spacing w:after="0" w:line="251" w:lineRule="auto"/>
        <w:tabs>
          <w:tab w:leader="none" w:pos="641" w:val="left"/>
        </w:tabs>
        <w:numPr>
          <w:ilvl w:val="1"/>
          <w:numId w:val="79"/>
        </w:numPr>
        <w:rPr>
          <w:rFonts w:ascii="Arial" w:cs="Arial" w:eastAsia="Arial" w:hAnsi="Arial"/>
          <w:sz w:val="16"/>
          <w:szCs w:val="16"/>
          <w:color w:val="auto"/>
        </w:rPr>
      </w:pPr>
      <w:r>
        <w:rPr>
          <w:rFonts w:ascii="Arial" w:cs="Arial" w:eastAsia="Arial" w:hAnsi="Arial"/>
          <w:sz w:val="16"/>
          <w:szCs w:val="16"/>
          <w:color w:val="auto"/>
        </w:rPr>
        <w:t>Costs of topographical, geographical and geophysical studies, rights of access to properties to conduct those studies, and salaries and other expenses of geologists, geophysical crews, and others conducting those studies. Collectively, these are sometimes referred to as geological and geophysical or "G&amp;G" costs.</w:t>
      </w:r>
    </w:p>
    <w:p>
      <w:pPr>
        <w:spacing w:after="0" w:line="1" w:lineRule="exact"/>
        <w:rPr>
          <w:rFonts w:ascii="Arial" w:cs="Arial" w:eastAsia="Arial" w:hAnsi="Arial"/>
          <w:sz w:val="16"/>
          <w:szCs w:val="16"/>
          <w:color w:val="auto"/>
        </w:rPr>
      </w:pPr>
    </w:p>
    <w:p>
      <w:pPr>
        <w:ind w:left="641" w:hanging="317"/>
        <w:spacing w:after="0" w:line="246" w:lineRule="auto"/>
        <w:tabs>
          <w:tab w:leader="none" w:pos="641" w:val="left"/>
        </w:tabs>
        <w:numPr>
          <w:ilvl w:val="1"/>
          <w:numId w:val="79"/>
        </w:numPr>
        <w:rPr>
          <w:rFonts w:ascii="Arial" w:cs="Arial" w:eastAsia="Arial" w:hAnsi="Arial"/>
          <w:sz w:val="16"/>
          <w:szCs w:val="16"/>
          <w:color w:val="auto"/>
        </w:rPr>
      </w:pPr>
      <w:r>
        <w:rPr>
          <w:rFonts w:ascii="Arial" w:cs="Arial" w:eastAsia="Arial" w:hAnsi="Arial"/>
          <w:sz w:val="16"/>
          <w:szCs w:val="16"/>
          <w:color w:val="auto"/>
        </w:rPr>
        <w:t>Costs of carrying and retaining undeveloped properties, such as delay rentals, ad valorem taxes on properties, legal costs for title defense, and the maintenance of land and lease records.</w:t>
      </w:r>
    </w:p>
    <w:p>
      <w:pPr>
        <w:ind w:left="641" w:hanging="317"/>
        <w:spacing w:after="0"/>
        <w:tabs>
          <w:tab w:leader="none" w:pos="641" w:val="left"/>
        </w:tabs>
        <w:numPr>
          <w:ilvl w:val="1"/>
          <w:numId w:val="79"/>
        </w:numPr>
        <w:rPr>
          <w:rFonts w:ascii="Arial" w:cs="Arial" w:eastAsia="Arial" w:hAnsi="Arial"/>
          <w:sz w:val="16"/>
          <w:szCs w:val="16"/>
          <w:color w:val="auto"/>
        </w:rPr>
      </w:pPr>
      <w:r>
        <w:rPr>
          <w:rFonts w:ascii="Arial" w:cs="Arial" w:eastAsia="Arial" w:hAnsi="Arial"/>
          <w:sz w:val="16"/>
          <w:szCs w:val="16"/>
          <w:color w:val="auto"/>
        </w:rPr>
        <w:t>Dry hole contributions and bottom hole contributions.</w:t>
      </w:r>
    </w:p>
    <w:p>
      <w:pPr>
        <w:spacing w:after="0" w:line="5" w:lineRule="exact"/>
        <w:rPr>
          <w:rFonts w:ascii="Arial" w:cs="Arial" w:eastAsia="Arial" w:hAnsi="Arial"/>
          <w:sz w:val="16"/>
          <w:szCs w:val="16"/>
          <w:color w:val="auto"/>
        </w:rPr>
      </w:pPr>
    </w:p>
    <w:p>
      <w:pPr>
        <w:ind w:left="641" w:hanging="317"/>
        <w:spacing w:after="0"/>
        <w:tabs>
          <w:tab w:leader="none" w:pos="641" w:val="left"/>
        </w:tabs>
        <w:numPr>
          <w:ilvl w:val="1"/>
          <w:numId w:val="79"/>
        </w:numPr>
        <w:rPr>
          <w:rFonts w:ascii="Arial" w:cs="Arial" w:eastAsia="Arial" w:hAnsi="Arial"/>
          <w:sz w:val="16"/>
          <w:szCs w:val="16"/>
          <w:color w:val="auto"/>
        </w:rPr>
      </w:pPr>
      <w:r>
        <w:rPr>
          <w:rFonts w:ascii="Arial" w:cs="Arial" w:eastAsia="Arial" w:hAnsi="Arial"/>
          <w:sz w:val="16"/>
          <w:szCs w:val="16"/>
          <w:color w:val="auto"/>
        </w:rPr>
        <w:t>Costs of drilling and equipping exploratory wells.</w:t>
      </w:r>
    </w:p>
    <w:p>
      <w:pPr>
        <w:spacing w:after="0" w:line="5" w:lineRule="exact"/>
        <w:rPr>
          <w:rFonts w:ascii="Arial" w:cs="Arial" w:eastAsia="Arial" w:hAnsi="Arial"/>
          <w:sz w:val="16"/>
          <w:szCs w:val="16"/>
          <w:color w:val="auto"/>
        </w:rPr>
      </w:pPr>
    </w:p>
    <w:p>
      <w:pPr>
        <w:ind w:left="641" w:hanging="317"/>
        <w:spacing w:after="0"/>
        <w:tabs>
          <w:tab w:leader="none" w:pos="641" w:val="left"/>
        </w:tabs>
        <w:numPr>
          <w:ilvl w:val="1"/>
          <w:numId w:val="79"/>
        </w:numPr>
        <w:rPr>
          <w:rFonts w:ascii="Arial" w:cs="Arial" w:eastAsia="Arial" w:hAnsi="Arial"/>
          <w:sz w:val="16"/>
          <w:szCs w:val="16"/>
          <w:color w:val="auto"/>
        </w:rPr>
      </w:pPr>
      <w:r>
        <w:rPr>
          <w:rFonts w:ascii="Arial" w:cs="Arial" w:eastAsia="Arial" w:hAnsi="Arial"/>
          <w:sz w:val="16"/>
          <w:szCs w:val="16"/>
          <w:color w:val="auto"/>
        </w:rPr>
        <w:t>Costs of drilling exploratory-type stratigraphic test wells.</w:t>
      </w:r>
    </w:p>
    <w:p>
      <w:pPr>
        <w:spacing w:after="0" w:line="110" w:lineRule="exact"/>
        <w:rPr>
          <w:rFonts w:ascii="Arial" w:cs="Arial" w:eastAsia="Arial" w:hAnsi="Arial"/>
          <w:sz w:val="16"/>
          <w:szCs w:val="16"/>
          <w:color w:val="auto"/>
        </w:rPr>
      </w:pPr>
    </w:p>
    <w:p>
      <w:pPr>
        <w:jc w:val="both"/>
        <w:ind w:left="1" w:hanging="1"/>
        <w:spacing w:after="0" w:line="263" w:lineRule="auto"/>
        <w:tabs>
          <w:tab w:leader="none" w:pos="334" w:val="left"/>
        </w:tabs>
        <w:numPr>
          <w:ilvl w:val="0"/>
          <w:numId w:val="79"/>
        </w:numPr>
        <w:rPr>
          <w:rFonts w:ascii="Arial" w:cs="Arial" w:eastAsia="Arial" w:hAnsi="Arial"/>
          <w:sz w:val="16"/>
          <w:szCs w:val="16"/>
          <w:color w:val="auto"/>
        </w:rPr>
      </w:pPr>
      <w:r>
        <w:rPr>
          <w:rFonts w:ascii="Arial" w:cs="Arial" w:eastAsia="Arial" w:hAnsi="Arial"/>
          <w:sz w:val="16"/>
          <w:szCs w:val="16"/>
          <w:i w:val="1"/>
          <w:iCs w:val="1"/>
          <w:color w:val="auto"/>
        </w:rPr>
        <w:t>Exploratory well</w:t>
      </w:r>
      <w:r>
        <w:rPr>
          <w:rFonts w:ascii="Arial" w:cs="Arial" w:eastAsia="Arial" w:hAnsi="Arial"/>
          <w:sz w:val="16"/>
          <w:szCs w:val="16"/>
          <w:color w:val="auto"/>
        </w:rPr>
        <w:t>. An exploratory well is a well drilled to find a new field or to find a new reservoir in a field previously found</w:t>
      </w:r>
      <w:r>
        <w:rPr>
          <w:rFonts w:ascii="Arial" w:cs="Arial" w:eastAsia="Arial" w:hAnsi="Arial"/>
          <w:sz w:val="16"/>
          <w:szCs w:val="16"/>
          <w:i w:val="1"/>
          <w:iCs w:val="1"/>
          <w:color w:val="auto"/>
        </w:rPr>
        <w:t xml:space="preserve"> </w:t>
      </w:r>
      <w:r>
        <w:rPr>
          <w:rFonts w:ascii="Arial" w:cs="Arial" w:eastAsia="Arial" w:hAnsi="Arial"/>
          <w:sz w:val="16"/>
          <w:szCs w:val="16"/>
          <w:color w:val="auto"/>
        </w:rPr>
        <w:t>to be productive of oil or gas in another reservoir. Generally, an exploratory well is any well that is not a development well, an extension well, a service well, or a stratigraphic test well as those items are defined in this section.</w:t>
      </w:r>
    </w:p>
    <w:p>
      <w:pPr>
        <w:spacing w:after="0" w:line="83" w:lineRule="exact"/>
        <w:rPr>
          <w:rFonts w:ascii="Arial" w:cs="Arial" w:eastAsia="Arial" w:hAnsi="Arial"/>
          <w:sz w:val="16"/>
          <w:szCs w:val="16"/>
          <w:color w:val="auto"/>
        </w:rPr>
      </w:pPr>
    </w:p>
    <w:p>
      <w:pPr>
        <w:ind w:left="341" w:hanging="341"/>
        <w:spacing w:after="0"/>
        <w:tabs>
          <w:tab w:leader="none" w:pos="341" w:val="left"/>
        </w:tabs>
        <w:numPr>
          <w:ilvl w:val="0"/>
          <w:numId w:val="79"/>
        </w:numPr>
        <w:rPr>
          <w:rFonts w:ascii="Arial" w:cs="Arial" w:eastAsia="Arial" w:hAnsi="Arial"/>
          <w:sz w:val="16"/>
          <w:szCs w:val="16"/>
          <w:color w:val="auto"/>
        </w:rPr>
      </w:pPr>
      <w:r>
        <w:rPr>
          <w:rFonts w:ascii="Arial" w:cs="Arial" w:eastAsia="Arial" w:hAnsi="Arial"/>
          <w:sz w:val="16"/>
          <w:szCs w:val="16"/>
          <w:i w:val="1"/>
          <w:iCs w:val="1"/>
          <w:color w:val="auto"/>
        </w:rPr>
        <w:t>Extension well</w:t>
      </w:r>
      <w:r>
        <w:rPr>
          <w:rFonts w:ascii="Arial" w:cs="Arial" w:eastAsia="Arial" w:hAnsi="Arial"/>
          <w:sz w:val="16"/>
          <w:szCs w:val="16"/>
          <w:color w:val="auto"/>
        </w:rPr>
        <w:t>. An extension well is a well drilled to extend the limits of a known reservoir.</w:t>
      </w:r>
    </w:p>
    <w:p>
      <w:pPr>
        <w:spacing w:after="0" w:line="126" w:lineRule="exact"/>
        <w:rPr>
          <w:rFonts w:ascii="Arial" w:cs="Arial" w:eastAsia="Arial" w:hAnsi="Arial"/>
          <w:sz w:val="16"/>
          <w:szCs w:val="16"/>
          <w:color w:val="auto"/>
        </w:rPr>
      </w:pPr>
    </w:p>
    <w:p>
      <w:pPr>
        <w:jc w:val="both"/>
        <w:ind w:left="1" w:hanging="1"/>
        <w:spacing w:after="0" w:line="253" w:lineRule="auto"/>
        <w:tabs>
          <w:tab w:leader="none" w:pos="361" w:val="left"/>
        </w:tabs>
        <w:numPr>
          <w:ilvl w:val="0"/>
          <w:numId w:val="79"/>
        </w:numPr>
        <w:rPr>
          <w:rFonts w:ascii="Arial" w:cs="Arial" w:eastAsia="Arial" w:hAnsi="Arial"/>
          <w:sz w:val="16"/>
          <w:szCs w:val="16"/>
          <w:color w:val="auto"/>
        </w:rPr>
      </w:pPr>
      <w:r>
        <w:rPr>
          <w:rFonts w:ascii="Arial" w:cs="Arial" w:eastAsia="Arial" w:hAnsi="Arial"/>
          <w:sz w:val="16"/>
          <w:szCs w:val="16"/>
          <w:i w:val="1"/>
          <w:iCs w:val="1"/>
          <w:color w:val="auto"/>
        </w:rPr>
        <w:t>Field</w:t>
      </w:r>
      <w:r>
        <w:rPr>
          <w:rFonts w:ascii="Arial" w:cs="Arial" w:eastAsia="Arial" w:hAnsi="Arial"/>
          <w:sz w:val="16"/>
          <w:szCs w:val="16"/>
          <w:color w:val="auto"/>
        </w:rPr>
        <w:t>. An area consisting of a single reservoir or multiple reservoirs all grouped on or related to the same individual</w:t>
      </w:r>
      <w:r>
        <w:rPr>
          <w:rFonts w:ascii="Arial" w:cs="Arial" w:eastAsia="Arial" w:hAnsi="Arial"/>
          <w:sz w:val="16"/>
          <w:szCs w:val="16"/>
          <w:i w:val="1"/>
          <w:iCs w:val="1"/>
          <w:color w:val="auto"/>
        </w:rPr>
        <w:t xml:space="preserve"> </w:t>
      </w:r>
      <w:r>
        <w:rPr>
          <w:rFonts w:ascii="Arial" w:cs="Arial" w:eastAsia="Arial" w:hAnsi="Arial"/>
          <w:sz w:val="16"/>
          <w:szCs w:val="16"/>
          <w:color w:val="auto"/>
        </w:rPr>
        <w:t>geological structural feature and/or stratigraphic condition. There may be two or more reservoirs in a field which are separated vertically by intervening impervious strata, or laterally by local geologic barriers, or by both. Reservoirs that are associated by being in overlapping or adjacent fields may be treated as a single or common operational field. The geological terms "structural feature" and "stratigraphic condition" are intended to identify localized geological features as opposed to the broader terms of basins, trends, provinces, plays, areas-of-interest, etc.</w:t>
      </w:r>
    </w:p>
    <w:p>
      <w:pPr>
        <w:spacing w:after="0" w:line="91" w:lineRule="exact"/>
        <w:rPr>
          <w:rFonts w:ascii="Arial" w:cs="Arial" w:eastAsia="Arial" w:hAnsi="Arial"/>
          <w:sz w:val="16"/>
          <w:szCs w:val="16"/>
          <w:color w:val="auto"/>
        </w:rPr>
      </w:pPr>
    </w:p>
    <w:p>
      <w:pPr>
        <w:ind w:left="341" w:hanging="341"/>
        <w:spacing w:after="0"/>
        <w:tabs>
          <w:tab w:leader="none" w:pos="341" w:val="left"/>
        </w:tabs>
        <w:numPr>
          <w:ilvl w:val="0"/>
          <w:numId w:val="79"/>
        </w:numPr>
        <w:rPr>
          <w:rFonts w:ascii="Arial" w:cs="Arial" w:eastAsia="Arial" w:hAnsi="Arial"/>
          <w:sz w:val="16"/>
          <w:szCs w:val="16"/>
          <w:color w:val="auto"/>
        </w:rPr>
      </w:pPr>
      <w:r>
        <w:rPr>
          <w:rFonts w:ascii="Arial" w:cs="Arial" w:eastAsia="Arial" w:hAnsi="Arial"/>
          <w:sz w:val="16"/>
          <w:szCs w:val="16"/>
          <w:i w:val="1"/>
          <w:iCs w:val="1"/>
          <w:color w:val="auto"/>
        </w:rPr>
        <w:t>Oil and gas producing activities</w:t>
      </w:r>
      <w:r>
        <w:rPr>
          <w:rFonts w:ascii="Arial" w:cs="Arial" w:eastAsia="Arial" w:hAnsi="Arial"/>
          <w:sz w:val="16"/>
          <w:szCs w:val="16"/>
          <w:color w:val="auto"/>
        </w:rPr>
        <w:t>.</w:t>
      </w:r>
    </w:p>
    <w:p>
      <w:pPr>
        <w:spacing w:after="0" w:line="130" w:lineRule="exact"/>
        <w:rPr>
          <w:rFonts w:ascii="Arial" w:cs="Arial" w:eastAsia="Arial" w:hAnsi="Arial"/>
          <w:sz w:val="16"/>
          <w:szCs w:val="16"/>
          <w:color w:val="auto"/>
        </w:rPr>
      </w:pPr>
    </w:p>
    <w:p>
      <w:pPr>
        <w:ind w:left="641" w:hanging="317"/>
        <w:spacing w:after="0"/>
        <w:tabs>
          <w:tab w:leader="none" w:pos="641" w:val="left"/>
        </w:tabs>
        <w:numPr>
          <w:ilvl w:val="1"/>
          <w:numId w:val="79"/>
        </w:numPr>
        <w:rPr>
          <w:rFonts w:ascii="Arial" w:cs="Arial" w:eastAsia="Arial" w:hAnsi="Arial"/>
          <w:sz w:val="16"/>
          <w:szCs w:val="16"/>
          <w:color w:val="auto"/>
        </w:rPr>
      </w:pPr>
      <w:r>
        <w:rPr>
          <w:rFonts w:ascii="Arial" w:cs="Arial" w:eastAsia="Arial" w:hAnsi="Arial"/>
          <w:sz w:val="16"/>
          <w:szCs w:val="16"/>
          <w:color w:val="auto"/>
        </w:rPr>
        <w:t>Oil and gas producing activities include:</w:t>
      </w:r>
    </w:p>
    <w:p>
      <w:pPr>
        <w:spacing w:after="0" w:line="126" w:lineRule="exact"/>
        <w:rPr>
          <w:rFonts w:ascii="Arial" w:cs="Arial" w:eastAsia="Arial" w:hAnsi="Arial"/>
          <w:sz w:val="16"/>
          <w:szCs w:val="16"/>
          <w:color w:val="auto"/>
        </w:rPr>
      </w:pPr>
    </w:p>
    <w:p>
      <w:pPr>
        <w:ind w:left="981" w:hanging="333"/>
        <w:spacing w:after="0" w:line="254" w:lineRule="auto"/>
        <w:tabs>
          <w:tab w:leader="none" w:pos="981" w:val="left"/>
        </w:tabs>
        <w:numPr>
          <w:ilvl w:val="2"/>
          <w:numId w:val="79"/>
        </w:numPr>
        <w:rPr>
          <w:rFonts w:ascii="Arial" w:cs="Arial" w:eastAsia="Arial" w:hAnsi="Arial"/>
          <w:sz w:val="16"/>
          <w:szCs w:val="16"/>
          <w:color w:val="auto"/>
        </w:rPr>
      </w:pPr>
      <w:r>
        <w:rPr>
          <w:rFonts w:ascii="Arial" w:cs="Arial" w:eastAsia="Arial" w:hAnsi="Arial"/>
          <w:sz w:val="16"/>
          <w:szCs w:val="16"/>
          <w:color w:val="auto"/>
        </w:rPr>
        <w:t>The search for crude oil, including condensate and natural gas liquids, or natural gas ("oil and gas") in their natural states and original locations;</w:t>
      </w:r>
    </w:p>
    <w:p>
      <w:pPr>
        <w:ind w:left="981" w:hanging="333"/>
        <w:spacing w:after="0" w:line="246" w:lineRule="auto"/>
        <w:tabs>
          <w:tab w:leader="none" w:pos="981" w:val="left"/>
        </w:tabs>
        <w:numPr>
          <w:ilvl w:val="2"/>
          <w:numId w:val="79"/>
        </w:numPr>
        <w:rPr>
          <w:rFonts w:ascii="Arial" w:cs="Arial" w:eastAsia="Arial" w:hAnsi="Arial"/>
          <w:sz w:val="16"/>
          <w:szCs w:val="16"/>
          <w:color w:val="auto"/>
        </w:rPr>
      </w:pPr>
      <w:r>
        <w:rPr>
          <w:rFonts w:ascii="Arial" w:cs="Arial" w:eastAsia="Arial" w:hAnsi="Arial"/>
          <w:sz w:val="16"/>
          <w:szCs w:val="16"/>
          <w:color w:val="auto"/>
        </w:rPr>
        <w:t>The acquisition of property rights or properties for the purpose of further exploration or for the purpose of removing the oil or gas from such properties;</w:t>
      </w:r>
    </w:p>
    <w:p>
      <w:pPr>
        <w:jc w:val="both"/>
        <w:ind w:left="981" w:hanging="333"/>
        <w:spacing w:after="0" w:line="253" w:lineRule="auto"/>
        <w:tabs>
          <w:tab w:leader="none" w:pos="981" w:val="left"/>
        </w:tabs>
        <w:numPr>
          <w:ilvl w:val="2"/>
          <w:numId w:val="79"/>
        </w:numPr>
        <w:rPr>
          <w:rFonts w:ascii="Arial" w:cs="Arial" w:eastAsia="Arial" w:hAnsi="Arial"/>
          <w:sz w:val="16"/>
          <w:szCs w:val="16"/>
          <w:color w:val="auto"/>
        </w:rPr>
      </w:pPr>
      <w:r>
        <w:rPr>
          <w:rFonts w:ascii="Arial" w:cs="Arial" w:eastAsia="Arial" w:hAnsi="Arial"/>
          <w:sz w:val="16"/>
          <w:szCs w:val="16"/>
          <w:color w:val="auto"/>
        </w:rPr>
        <w:t>The construction, drilling, and production activities necessary to retrieve oil and gas from their natural reservoirs, including the acquisition, construction, installation, and maintenance of field gathering and storage systems, such as:</w:t>
      </w:r>
    </w:p>
    <w:p>
      <w:pPr>
        <w:spacing w:after="0" w:line="179" w:lineRule="exact"/>
        <w:rPr>
          <w:rFonts w:ascii="Arial" w:cs="Arial" w:eastAsia="Arial" w:hAnsi="Arial"/>
          <w:sz w:val="16"/>
          <w:szCs w:val="16"/>
          <w:color w:val="auto"/>
        </w:rPr>
      </w:pPr>
    </w:p>
    <w:p>
      <w:pPr>
        <w:ind w:left="1301" w:hanging="329"/>
        <w:spacing w:after="0"/>
        <w:tabs>
          <w:tab w:leader="none" w:pos="1301" w:val="left"/>
        </w:tabs>
        <w:numPr>
          <w:ilvl w:val="3"/>
          <w:numId w:val="79"/>
        </w:numPr>
        <w:rPr>
          <w:rFonts w:ascii="Arial" w:cs="Arial" w:eastAsia="Arial" w:hAnsi="Arial"/>
          <w:sz w:val="16"/>
          <w:szCs w:val="16"/>
          <w:i w:val="1"/>
          <w:iCs w:val="1"/>
          <w:color w:val="auto"/>
        </w:rPr>
      </w:pPr>
      <w:r>
        <w:rPr>
          <w:rFonts w:ascii="Arial" w:cs="Arial" w:eastAsia="Arial" w:hAnsi="Arial"/>
          <w:sz w:val="16"/>
          <w:szCs w:val="16"/>
          <w:color w:val="auto"/>
        </w:rPr>
        <w:t>Lifting the oil and gas to the surface; and</w:t>
      </w:r>
    </w:p>
    <w:p>
      <w:pPr>
        <w:spacing w:after="0" w:line="5" w:lineRule="exact"/>
        <w:rPr>
          <w:rFonts w:ascii="Arial" w:cs="Arial" w:eastAsia="Arial" w:hAnsi="Arial"/>
          <w:sz w:val="16"/>
          <w:szCs w:val="16"/>
          <w:i w:val="1"/>
          <w:iCs w:val="1"/>
          <w:color w:val="auto"/>
        </w:rPr>
      </w:pPr>
    </w:p>
    <w:p>
      <w:pPr>
        <w:ind w:left="1301" w:hanging="329"/>
        <w:spacing w:after="0"/>
        <w:tabs>
          <w:tab w:leader="none" w:pos="1301" w:val="left"/>
        </w:tabs>
        <w:numPr>
          <w:ilvl w:val="3"/>
          <w:numId w:val="79"/>
        </w:numPr>
        <w:rPr>
          <w:rFonts w:ascii="Arial" w:cs="Arial" w:eastAsia="Arial" w:hAnsi="Arial"/>
          <w:sz w:val="16"/>
          <w:szCs w:val="16"/>
          <w:i w:val="1"/>
          <w:iCs w:val="1"/>
          <w:color w:val="auto"/>
        </w:rPr>
      </w:pPr>
      <w:r>
        <w:rPr>
          <w:rFonts w:ascii="Arial" w:cs="Arial" w:eastAsia="Arial" w:hAnsi="Arial"/>
          <w:sz w:val="16"/>
          <w:szCs w:val="16"/>
          <w:color w:val="auto"/>
        </w:rPr>
        <w:t>Gathering, treating, and field processing (as in the case of processing gas to extract liquid hydrocarbons); and</w:t>
      </w:r>
    </w:p>
    <w:p>
      <w:pPr>
        <w:spacing w:after="0" w:line="5" w:lineRule="exact"/>
        <w:rPr>
          <w:rFonts w:ascii="Arial" w:cs="Arial" w:eastAsia="Arial" w:hAnsi="Arial"/>
          <w:sz w:val="16"/>
          <w:szCs w:val="16"/>
          <w:i w:val="1"/>
          <w:iCs w:val="1"/>
          <w:color w:val="auto"/>
        </w:rPr>
      </w:pPr>
    </w:p>
    <w:p>
      <w:pPr>
        <w:jc w:val="both"/>
        <w:ind w:left="981" w:hanging="333"/>
        <w:spacing w:after="0" w:line="253" w:lineRule="auto"/>
        <w:tabs>
          <w:tab w:leader="none" w:pos="981" w:val="left"/>
        </w:tabs>
        <w:numPr>
          <w:ilvl w:val="2"/>
          <w:numId w:val="79"/>
        </w:numPr>
        <w:rPr>
          <w:rFonts w:ascii="Arial" w:cs="Arial" w:eastAsia="Arial" w:hAnsi="Arial"/>
          <w:sz w:val="16"/>
          <w:szCs w:val="16"/>
          <w:color w:val="auto"/>
        </w:rPr>
      </w:pPr>
      <w:r>
        <w:rPr>
          <w:rFonts w:ascii="Arial" w:cs="Arial" w:eastAsia="Arial" w:hAnsi="Arial"/>
          <w:sz w:val="16"/>
          <w:szCs w:val="16"/>
          <w:color w:val="auto"/>
        </w:rPr>
        <w:t>Extraction of saleable hydrocarbons, in the solid, liquid, or gaseous state, from oil sands, shale, coalbeds, or other nonrenewable natural resources which are intended to be upgraded into synthetic oil or gas, and activities undertaken with a view to such extraction.</w:t>
      </w:r>
    </w:p>
    <w:p>
      <w:pPr>
        <w:spacing w:after="0" w:line="91" w:lineRule="exact"/>
        <w:rPr>
          <w:sz w:val="20"/>
          <w:szCs w:val="20"/>
          <w:color w:val="auto"/>
        </w:rPr>
      </w:pPr>
    </w:p>
    <w:p>
      <w:pPr>
        <w:jc w:val="both"/>
        <w:ind w:left="321"/>
        <w:spacing w:after="0" w:line="263" w:lineRule="auto"/>
        <w:rPr>
          <w:sz w:val="20"/>
          <w:szCs w:val="20"/>
          <w:color w:val="auto"/>
        </w:rPr>
      </w:pPr>
      <w:r>
        <w:rPr>
          <w:rFonts w:ascii="Arial" w:cs="Arial" w:eastAsia="Arial" w:hAnsi="Arial"/>
          <w:sz w:val="16"/>
          <w:szCs w:val="16"/>
          <w:i w:val="1"/>
          <w:iCs w:val="1"/>
          <w:color w:val="auto"/>
        </w:rPr>
        <w:t>Instruction 1 to paragraph (a)(16)(i)</w:t>
      </w:r>
      <w:r>
        <w:rPr>
          <w:rFonts w:ascii="Arial" w:cs="Arial" w:eastAsia="Arial" w:hAnsi="Arial"/>
          <w:sz w:val="16"/>
          <w:szCs w:val="16"/>
          <w:color w:val="auto"/>
        </w:rPr>
        <w:t>: The oil and gas production function shall be regarded as ending at a "terminal point",</w:t>
      </w:r>
      <w:r>
        <w:rPr>
          <w:rFonts w:ascii="Arial" w:cs="Arial" w:eastAsia="Arial" w:hAnsi="Arial"/>
          <w:sz w:val="16"/>
          <w:szCs w:val="16"/>
          <w:i w:val="1"/>
          <w:iCs w:val="1"/>
          <w:color w:val="auto"/>
        </w:rPr>
        <w:t xml:space="preserve"> </w:t>
      </w:r>
      <w:r>
        <w:rPr>
          <w:rFonts w:ascii="Arial" w:cs="Arial" w:eastAsia="Arial" w:hAnsi="Arial"/>
          <w:sz w:val="16"/>
          <w:szCs w:val="16"/>
          <w:color w:val="auto"/>
        </w:rPr>
        <w:t>which is the outlet valve on the lease or field storage tank. If unusual physical or operational circumstances exist, it may be appropriate to regard the terminal point for the production function as:</w:t>
      </w:r>
    </w:p>
    <w:p>
      <w:pPr>
        <w:spacing w:after="0" w:line="101" w:lineRule="exact"/>
        <w:rPr>
          <w:sz w:val="20"/>
          <w:szCs w:val="20"/>
          <w:color w:val="auto"/>
        </w:rPr>
      </w:pPr>
    </w:p>
    <w:p>
      <w:pPr>
        <w:ind w:left="7521"/>
        <w:spacing w:after="0"/>
        <w:rPr>
          <w:sz w:val="20"/>
          <w:szCs w:val="20"/>
          <w:color w:val="auto"/>
        </w:rPr>
      </w:pPr>
      <w:r>
        <w:rPr>
          <w:rFonts w:ascii="Arial" w:cs="Arial" w:eastAsia="Arial" w:hAnsi="Arial"/>
          <w:sz w:val="16"/>
          <w:szCs w:val="16"/>
          <w:color w:val="auto"/>
        </w:rPr>
        <w:t>Definitions - Page 2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352425</wp:posOffset>
            </wp:positionV>
            <wp:extent cx="5880735"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9">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1"/>
          </w:cols>
          <w:pgMar w:left="1319" w:top="1016" w:right="13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833755</wp:posOffset>
            </wp:positionH>
            <wp:positionV relativeFrom="page">
              <wp:posOffset>337185</wp:posOffset>
            </wp:positionV>
            <wp:extent cx="1868805" cy="2571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0">
                      <a:clrChange>
                        <a:clrFrom>
                          <a:srgbClr val="FFFFFF"/>
                        </a:clrFrom>
                        <a:clrTo>
                          <a:srgbClr val="FFFFFF">
                            <a:alpha val="0"/>
                          </a:srgbClr>
                        </a:clrTo>
                      </a:clrChange>
                      <a:extLst>
                        <a:ext uri="{28A0092B-C50C-407E-A947-70E740481C1C}"/>
                      </a:extLst>
                    </a:blip>
                    <a:srcRect/>
                    <a:stretch>
                      <a:fillRect/>
                    </a:stretch>
                  </pic:blipFill>
                  <pic:spPr bwMode="auto">
                    <a:xfrm>
                      <a:off x="0" y="0"/>
                      <a:ext cx="1868805" cy="257175"/>
                    </a:xfrm>
                    <a:prstGeom prst="rect">
                      <a:avLst/>
                    </a:prstGeom>
                    <a:noFill/>
                  </pic:spPr>
                </pic:pic>
              </a:graphicData>
            </a:graphic>
          </wp:anchor>
        </w:drawing>
        <w:t>DEFINITIONS OF OIL AND GAS RESERVES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Adapted from U.S. Securities and Exchange Commission Regulation S-X Section 210.4-10(a)</w:t>
      </w:r>
    </w:p>
    <w:p>
      <w:pPr>
        <w:spacing w:after="0" w:line="200" w:lineRule="exact"/>
        <w:rPr>
          <w:sz w:val="20"/>
          <w:szCs w:val="20"/>
          <w:color w:val="auto"/>
        </w:rPr>
      </w:pPr>
    </w:p>
    <w:p>
      <w:pPr>
        <w:spacing w:after="0" w:line="353" w:lineRule="exact"/>
        <w:rPr>
          <w:sz w:val="20"/>
          <w:szCs w:val="20"/>
          <w:color w:val="auto"/>
        </w:rPr>
      </w:pPr>
    </w:p>
    <w:p>
      <w:pPr>
        <w:ind w:left="641" w:hanging="317"/>
        <w:spacing w:after="0" w:line="254" w:lineRule="auto"/>
        <w:tabs>
          <w:tab w:leader="none" w:pos="641"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first point at which oil, gas, or gas liquids, natural or synthetic, are delivered to a main pipeline, a common carrier, a refinery, or a marine terminal; and</w:t>
      </w:r>
    </w:p>
    <w:p>
      <w:pPr>
        <w:jc w:val="both"/>
        <w:ind w:left="641" w:hanging="317"/>
        <w:spacing w:after="0" w:line="251" w:lineRule="auto"/>
        <w:tabs>
          <w:tab w:leader="none" w:pos="641" w:val="left"/>
        </w:tabs>
        <w:numPr>
          <w:ilvl w:val="0"/>
          <w:numId w:val="80"/>
        </w:numPr>
        <w:rPr>
          <w:rFonts w:ascii="Arial" w:cs="Arial" w:eastAsia="Arial" w:hAnsi="Arial"/>
          <w:sz w:val="16"/>
          <w:szCs w:val="16"/>
          <w:color w:val="auto"/>
        </w:rPr>
      </w:pPr>
      <w:r>
        <w:rPr>
          <w:rFonts w:ascii="Arial" w:cs="Arial" w:eastAsia="Arial" w:hAnsi="Arial"/>
          <w:sz w:val="16"/>
          <w:szCs w:val="16"/>
          <w:color w:val="auto"/>
        </w:rPr>
        <w:t>In the case of natural resources that are intended to be upgraded into synthetic oil or gas, if those natural resources are delivered to a purchaser prior to upgrading, the first point at which the natural resources are delivered to a main pipeline, a common carrier, a refinery, a marine terminal, or a facility which upgrades such natural resources into synthetic oil or gas.</w:t>
      </w:r>
    </w:p>
    <w:p>
      <w:pPr>
        <w:spacing w:after="0" w:line="92" w:lineRule="exact"/>
        <w:rPr>
          <w:sz w:val="20"/>
          <w:szCs w:val="20"/>
          <w:color w:val="auto"/>
        </w:rPr>
      </w:pPr>
    </w:p>
    <w:p>
      <w:pPr>
        <w:ind w:left="321"/>
        <w:spacing w:after="0" w:line="281" w:lineRule="auto"/>
        <w:rPr>
          <w:sz w:val="20"/>
          <w:szCs w:val="20"/>
          <w:color w:val="auto"/>
        </w:rPr>
      </w:pPr>
      <w:r>
        <w:rPr>
          <w:rFonts w:ascii="Arial" w:cs="Arial" w:eastAsia="Arial" w:hAnsi="Arial"/>
          <w:sz w:val="16"/>
          <w:szCs w:val="16"/>
          <w:i w:val="1"/>
          <w:iCs w:val="1"/>
          <w:color w:val="auto"/>
        </w:rPr>
        <w:t xml:space="preserve">Instruction 2 to paragraph (a)(16)(i): </w:t>
      </w:r>
      <w:r>
        <w:rPr>
          <w:rFonts w:ascii="Arial" w:cs="Arial" w:eastAsia="Arial" w:hAnsi="Arial"/>
          <w:sz w:val="16"/>
          <w:szCs w:val="16"/>
          <w:color w:val="auto"/>
        </w:rPr>
        <w:t>For purposes of this paragraph (a)(16), the term</w:t>
      </w:r>
      <w:r>
        <w:rPr>
          <w:rFonts w:ascii="Arial" w:cs="Arial" w:eastAsia="Arial" w:hAnsi="Arial"/>
          <w:sz w:val="16"/>
          <w:szCs w:val="16"/>
          <w:i w:val="1"/>
          <w:iCs w:val="1"/>
          <w:color w:val="auto"/>
        </w:rPr>
        <w:t xml:space="preserve"> saleable hydrocarbons </w:t>
      </w:r>
      <w:r>
        <w:rPr>
          <w:rFonts w:ascii="Arial" w:cs="Arial" w:eastAsia="Arial" w:hAnsi="Arial"/>
          <w:sz w:val="16"/>
          <w:szCs w:val="16"/>
          <w:color w:val="auto"/>
        </w:rPr>
        <w:t>means</w:t>
      </w:r>
      <w:r>
        <w:rPr>
          <w:rFonts w:ascii="Arial" w:cs="Arial" w:eastAsia="Arial" w:hAnsi="Arial"/>
          <w:sz w:val="16"/>
          <w:szCs w:val="16"/>
          <w:i w:val="1"/>
          <w:iCs w:val="1"/>
          <w:color w:val="auto"/>
        </w:rPr>
        <w:t xml:space="preserve"> </w:t>
      </w:r>
      <w:r>
        <w:rPr>
          <w:rFonts w:ascii="Arial" w:cs="Arial" w:eastAsia="Arial" w:hAnsi="Arial"/>
          <w:sz w:val="16"/>
          <w:szCs w:val="16"/>
          <w:color w:val="auto"/>
        </w:rPr>
        <w:t>hydrocarbons that are saleable in the state in which the hydrocarbons are delivered.</w:t>
      </w:r>
    </w:p>
    <w:p>
      <w:pPr>
        <w:spacing w:after="0" w:line="73" w:lineRule="exact"/>
        <w:rPr>
          <w:sz w:val="20"/>
          <w:szCs w:val="20"/>
          <w:color w:val="auto"/>
        </w:rPr>
      </w:pPr>
    </w:p>
    <w:p>
      <w:pPr>
        <w:ind w:left="641" w:hanging="317"/>
        <w:spacing w:after="0"/>
        <w:tabs>
          <w:tab w:leader="none" w:pos="641" w:val="left"/>
        </w:tabs>
        <w:numPr>
          <w:ilvl w:val="1"/>
          <w:numId w:val="81"/>
        </w:numPr>
        <w:rPr>
          <w:rFonts w:ascii="Arial" w:cs="Arial" w:eastAsia="Arial" w:hAnsi="Arial"/>
          <w:sz w:val="16"/>
          <w:szCs w:val="16"/>
          <w:color w:val="auto"/>
        </w:rPr>
      </w:pPr>
      <w:r>
        <w:rPr>
          <w:rFonts w:ascii="Arial" w:cs="Arial" w:eastAsia="Arial" w:hAnsi="Arial"/>
          <w:sz w:val="16"/>
          <w:szCs w:val="16"/>
          <w:color w:val="auto"/>
        </w:rPr>
        <w:t>Oil and gas producing activities do not include:</w:t>
      </w:r>
    </w:p>
    <w:p>
      <w:pPr>
        <w:spacing w:after="0" w:line="126" w:lineRule="exact"/>
        <w:rPr>
          <w:rFonts w:ascii="Arial" w:cs="Arial" w:eastAsia="Arial" w:hAnsi="Arial"/>
          <w:sz w:val="16"/>
          <w:szCs w:val="16"/>
          <w:color w:val="auto"/>
        </w:rPr>
      </w:pPr>
    </w:p>
    <w:p>
      <w:pPr>
        <w:ind w:left="981" w:hanging="333"/>
        <w:spacing w:after="0"/>
        <w:tabs>
          <w:tab w:leader="none" w:pos="981" w:val="left"/>
        </w:tabs>
        <w:numPr>
          <w:ilvl w:val="2"/>
          <w:numId w:val="81"/>
        </w:numPr>
        <w:rPr>
          <w:rFonts w:ascii="Arial" w:cs="Arial" w:eastAsia="Arial" w:hAnsi="Arial"/>
          <w:sz w:val="16"/>
          <w:szCs w:val="16"/>
          <w:color w:val="auto"/>
        </w:rPr>
      </w:pPr>
      <w:r>
        <w:rPr>
          <w:rFonts w:ascii="Arial" w:cs="Arial" w:eastAsia="Arial" w:hAnsi="Arial"/>
          <w:sz w:val="16"/>
          <w:szCs w:val="16"/>
          <w:color w:val="auto"/>
        </w:rPr>
        <w:t>Transporting, refining, or marketing oil and gas;</w:t>
      </w:r>
    </w:p>
    <w:p>
      <w:pPr>
        <w:spacing w:after="0" w:line="17" w:lineRule="exact"/>
        <w:rPr>
          <w:rFonts w:ascii="Arial" w:cs="Arial" w:eastAsia="Arial" w:hAnsi="Arial"/>
          <w:sz w:val="16"/>
          <w:szCs w:val="16"/>
          <w:color w:val="auto"/>
        </w:rPr>
      </w:pPr>
    </w:p>
    <w:p>
      <w:pPr>
        <w:ind w:left="981" w:hanging="333"/>
        <w:spacing w:after="0" w:line="246" w:lineRule="auto"/>
        <w:tabs>
          <w:tab w:leader="none" w:pos="981" w:val="left"/>
        </w:tabs>
        <w:numPr>
          <w:ilvl w:val="2"/>
          <w:numId w:val="81"/>
        </w:numPr>
        <w:rPr>
          <w:rFonts w:ascii="Arial" w:cs="Arial" w:eastAsia="Arial" w:hAnsi="Arial"/>
          <w:sz w:val="16"/>
          <w:szCs w:val="16"/>
          <w:color w:val="auto"/>
        </w:rPr>
      </w:pPr>
      <w:r>
        <w:rPr>
          <w:rFonts w:ascii="Arial" w:cs="Arial" w:eastAsia="Arial" w:hAnsi="Arial"/>
          <w:sz w:val="16"/>
          <w:szCs w:val="16"/>
          <w:color w:val="auto"/>
        </w:rPr>
        <w:t>Processing of produced oil, gas, or natural resources that can be upgraded into synthetic oil or gas by a registrant that does not have the legal right to produce or a revenue interest in such production;</w:t>
      </w:r>
    </w:p>
    <w:p>
      <w:pPr>
        <w:ind w:left="981" w:hanging="333"/>
        <w:spacing w:after="0" w:line="246" w:lineRule="auto"/>
        <w:tabs>
          <w:tab w:leader="none" w:pos="981" w:val="left"/>
        </w:tabs>
        <w:numPr>
          <w:ilvl w:val="2"/>
          <w:numId w:val="81"/>
        </w:numPr>
        <w:rPr>
          <w:rFonts w:ascii="Arial" w:cs="Arial" w:eastAsia="Arial" w:hAnsi="Arial"/>
          <w:sz w:val="16"/>
          <w:szCs w:val="16"/>
          <w:color w:val="auto"/>
        </w:rPr>
      </w:pPr>
      <w:r>
        <w:rPr>
          <w:rFonts w:ascii="Arial" w:cs="Arial" w:eastAsia="Arial" w:hAnsi="Arial"/>
          <w:sz w:val="16"/>
          <w:szCs w:val="16"/>
          <w:color w:val="auto"/>
        </w:rPr>
        <w:t>Activities relating to the production of natural resources other than oil, gas, or natural resources from which synthetic oil and gas can be extracted; or</w:t>
      </w:r>
    </w:p>
    <w:p>
      <w:pPr>
        <w:ind w:left="981" w:hanging="333"/>
        <w:spacing w:after="0"/>
        <w:tabs>
          <w:tab w:leader="none" w:pos="981" w:val="left"/>
        </w:tabs>
        <w:numPr>
          <w:ilvl w:val="2"/>
          <w:numId w:val="81"/>
        </w:numPr>
        <w:rPr>
          <w:rFonts w:ascii="Arial" w:cs="Arial" w:eastAsia="Arial" w:hAnsi="Arial"/>
          <w:sz w:val="16"/>
          <w:szCs w:val="16"/>
          <w:color w:val="auto"/>
        </w:rPr>
      </w:pPr>
      <w:r>
        <w:rPr>
          <w:rFonts w:ascii="Arial" w:cs="Arial" w:eastAsia="Arial" w:hAnsi="Arial"/>
          <w:sz w:val="16"/>
          <w:szCs w:val="16"/>
          <w:color w:val="auto"/>
        </w:rPr>
        <w:t>Production of geothermal steam.</w:t>
      </w:r>
    </w:p>
    <w:p>
      <w:pPr>
        <w:spacing w:after="0" w:line="110" w:lineRule="exact"/>
        <w:rPr>
          <w:rFonts w:ascii="Arial" w:cs="Arial" w:eastAsia="Arial" w:hAnsi="Arial"/>
          <w:sz w:val="16"/>
          <w:szCs w:val="16"/>
          <w:color w:val="auto"/>
        </w:rPr>
      </w:pPr>
    </w:p>
    <w:p>
      <w:pPr>
        <w:ind w:left="1" w:hanging="1"/>
        <w:spacing w:after="0" w:line="281" w:lineRule="auto"/>
        <w:tabs>
          <w:tab w:leader="none" w:pos="348" w:val="left"/>
        </w:tabs>
        <w:numPr>
          <w:ilvl w:val="0"/>
          <w:numId w:val="82"/>
        </w:numPr>
        <w:rPr>
          <w:rFonts w:ascii="Arial" w:cs="Arial" w:eastAsia="Arial" w:hAnsi="Arial"/>
          <w:sz w:val="16"/>
          <w:szCs w:val="16"/>
          <w:color w:val="auto"/>
        </w:rPr>
      </w:pPr>
      <w:r>
        <w:rPr>
          <w:rFonts w:ascii="Arial" w:cs="Arial" w:eastAsia="Arial" w:hAnsi="Arial"/>
          <w:sz w:val="16"/>
          <w:szCs w:val="16"/>
          <w:i w:val="1"/>
          <w:iCs w:val="1"/>
          <w:color w:val="auto"/>
        </w:rPr>
        <w:t xml:space="preserve">Possible reserves. </w:t>
      </w:r>
      <w:r>
        <w:rPr>
          <w:rFonts w:ascii="Arial" w:cs="Arial" w:eastAsia="Arial" w:hAnsi="Arial"/>
          <w:sz w:val="16"/>
          <w:szCs w:val="16"/>
          <w:color w:val="auto"/>
        </w:rPr>
        <w:t>Possible reserves are those additional reserves that are less certain to be recovered than probable</w:t>
      </w:r>
      <w:r>
        <w:rPr>
          <w:rFonts w:ascii="Arial" w:cs="Arial" w:eastAsia="Arial" w:hAnsi="Arial"/>
          <w:sz w:val="16"/>
          <w:szCs w:val="16"/>
          <w:i w:val="1"/>
          <w:iCs w:val="1"/>
          <w:color w:val="auto"/>
        </w:rPr>
        <w:t xml:space="preserve"> </w:t>
      </w:r>
      <w:r>
        <w:rPr>
          <w:rFonts w:ascii="Arial" w:cs="Arial" w:eastAsia="Arial" w:hAnsi="Arial"/>
          <w:sz w:val="16"/>
          <w:szCs w:val="16"/>
          <w:color w:val="auto"/>
        </w:rPr>
        <w:t>reserves.</w:t>
      </w:r>
    </w:p>
    <w:p>
      <w:pPr>
        <w:spacing w:after="0" w:line="72" w:lineRule="exact"/>
        <w:rPr>
          <w:rFonts w:ascii="Arial" w:cs="Arial" w:eastAsia="Arial" w:hAnsi="Arial"/>
          <w:sz w:val="16"/>
          <w:szCs w:val="16"/>
          <w:color w:val="auto"/>
        </w:rPr>
      </w:pPr>
    </w:p>
    <w:p>
      <w:pPr>
        <w:jc w:val="both"/>
        <w:ind w:left="641" w:hanging="317"/>
        <w:spacing w:after="0" w:line="250" w:lineRule="auto"/>
        <w:tabs>
          <w:tab w:leader="none" w:pos="641" w:val="left"/>
        </w:tabs>
        <w:numPr>
          <w:ilvl w:val="1"/>
          <w:numId w:val="82"/>
        </w:numPr>
        <w:rPr>
          <w:rFonts w:ascii="Arial" w:cs="Arial" w:eastAsia="Arial" w:hAnsi="Arial"/>
          <w:sz w:val="16"/>
          <w:szCs w:val="16"/>
          <w:color w:val="auto"/>
        </w:rPr>
      </w:pPr>
      <w:r>
        <w:rPr>
          <w:rFonts w:ascii="Arial" w:cs="Arial" w:eastAsia="Arial" w:hAnsi="Arial"/>
          <w:sz w:val="16"/>
          <w:szCs w:val="16"/>
          <w:color w:val="auto"/>
        </w:rPr>
        <w:t>When deterministic methods are used, the total quantities ultimately recovered from a project have a low probability of exceeding proved plus probable plus possible reserves. When probabilistic methods are used, there should be at least a 10% probability that the total quantities ultimately recovered will equal or exceed the proved plus probable plus possible reserves estimates.</w:t>
      </w:r>
    </w:p>
    <w:p>
      <w:pPr>
        <w:spacing w:after="0" w:line="1" w:lineRule="exact"/>
        <w:rPr>
          <w:rFonts w:ascii="Arial" w:cs="Arial" w:eastAsia="Arial" w:hAnsi="Arial"/>
          <w:sz w:val="16"/>
          <w:szCs w:val="16"/>
          <w:color w:val="auto"/>
        </w:rPr>
      </w:pPr>
    </w:p>
    <w:p>
      <w:pPr>
        <w:jc w:val="both"/>
        <w:ind w:left="641" w:hanging="317"/>
        <w:spacing w:after="0" w:line="246" w:lineRule="auto"/>
        <w:tabs>
          <w:tab w:leader="none" w:pos="641" w:val="left"/>
        </w:tabs>
        <w:numPr>
          <w:ilvl w:val="1"/>
          <w:numId w:val="82"/>
        </w:numPr>
        <w:rPr>
          <w:rFonts w:ascii="Arial" w:cs="Arial" w:eastAsia="Arial" w:hAnsi="Arial"/>
          <w:sz w:val="16"/>
          <w:szCs w:val="16"/>
          <w:color w:val="auto"/>
        </w:rPr>
      </w:pPr>
      <w:r>
        <w:rPr>
          <w:rFonts w:ascii="Arial" w:cs="Arial" w:eastAsia="Arial" w:hAnsi="Arial"/>
          <w:sz w:val="16"/>
          <w:szCs w:val="16"/>
          <w:color w:val="auto"/>
        </w:rPr>
        <w:t>Possible reserves may be assigned to areas of a reservoir adjacent to probable reserves where data control and interpretations of available data are progressively less certain. Frequently, this will be in areas where geoscience and engineering data are unable to define clearly the area and vertical limits of commercial production from the reservoir by a defined project.</w:t>
      </w:r>
    </w:p>
    <w:p>
      <w:pPr>
        <w:spacing w:after="0" w:line="1" w:lineRule="exact"/>
        <w:rPr>
          <w:rFonts w:ascii="Arial" w:cs="Arial" w:eastAsia="Arial" w:hAnsi="Arial"/>
          <w:sz w:val="16"/>
          <w:szCs w:val="16"/>
          <w:color w:val="auto"/>
        </w:rPr>
      </w:pPr>
    </w:p>
    <w:p>
      <w:pPr>
        <w:ind w:left="641" w:hanging="317"/>
        <w:spacing w:after="0" w:line="246" w:lineRule="auto"/>
        <w:tabs>
          <w:tab w:leader="none" w:pos="641" w:val="left"/>
        </w:tabs>
        <w:numPr>
          <w:ilvl w:val="1"/>
          <w:numId w:val="82"/>
        </w:numPr>
        <w:rPr>
          <w:rFonts w:ascii="Arial" w:cs="Arial" w:eastAsia="Arial" w:hAnsi="Arial"/>
          <w:sz w:val="16"/>
          <w:szCs w:val="16"/>
          <w:color w:val="auto"/>
        </w:rPr>
      </w:pPr>
      <w:r>
        <w:rPr>
          <w:rFonts w:ascii="Arial" w:cs="Arial" w:eastAsia="Arial" w:hAnsi="Arial"/>
          <w:sz w:val="16"/>
          <w:szCs w:val="16"/>
          <w:color w:val="auto"/>
        </w:rPr>
        <w:t>Possible reserves also include incremental quantities associated with a greater percentage recovery of the hydrocarbons in place than the recovery quantities assumed for probable reserves.</w:t>
      </w:r>
    </w:p>
    <w:p>
      <w:pPr>
        <w:jc w:val="both"/>
        <w:ind w:left="641" w:hanging="317"/>
        <w:spacing w:after="0" w:line="246" w:lineRule="auto"/>
        <w:tabs>
          <w:tab w:leader="none" w:pos="641" w:val="left"/>
        </w:tabs>
        <w:numPr>
          <w:ilvl w:val="1"/>
          <w:numId w:val="82"/>
        </w:numPr>
        <w:rPr>
          <w:rFonts w:ascii="Arial" w:cs="Arial" w:eastAsia="Arial" w:hAnsi="Arial"/>
          <w:sz w:val="16"/>
          <w:szCs w:val="16"/>
          <w:color w:val="auto"/>
        </w:rPr>
      </w:pPr>
      <w:r>
        <w:rPr>
          <w:rFonts w:ascii="Arial" w:cs="Arial" w:eastAsia="Arial" w:hAnsi="Arial"/>
          <w:sz w:val="16"/>
          <w:szCs w:val="16"/>
          <w:color w:val="auto"/>
        </w:rPr>
        <w:t>The proved plus probable and proved plus probable plus possible reserves estimates must be based on reasonable alternative technical and commercial interpretations within the reservoir or subject project that are clearly documented, including comparisons to results in successful similar projects.</w:t>
      </w:r>
    </w:p>
    <w:p>
      <w:pPr>
        <w:spacing w:after="0" w:line="1" w:lineRule="exact"/>
        <w:rPr>
          <w:rFonts w:ascii="Arial" w:cs="Arial" w:eastAsia="Arial" w:hAnsi="Arial"/>
          <w:sz w:val="16"/>
          <w:szCs w:val="16"/>
          <w:color w:val="auto"/>
        </w:rPr>
      </w:pPr>
    </w:p>
    <w:p>
      <w:pPr>
        <w:jc w:val="both"/>
        <w:ind w:left="641" w:hanging="317"/>
        <w:spacing w:after="0" w:line="246" w:lineRule="auto"/>
        <w:tabs>
          <w:tab w:leader="none" w:pos="641" w:val="left"/>
        </w:tabs>
        <w:numPr>
          <w:ilvl w:val="1"/>
          <w:numId w:val="82"/>
        </w:numPr>
        <w:rPr>
          <w:rFonts w:ascii="Arial" w:cs="Arial" w:eastAsia="Arial" w:hAnsi="Arial"/>
          <w:sz w:val="16"/>
          <w:szCs w:val="16"/>
          <w:color w:val="auto"/>
        </w:rPr>
      </w:pPr>
      <w:r>
        <w:rPr>
          <w:rFonts w:ascii="Arial" w:cs="Arial" w:eastAsia="Arial" w:hAnsi="Arial"/>
          <w:sz w:val="16"/>
          <w:szCs w:val="16"/>
          <w:color w:val="auto"/>
        </w:rPr>
        <w:t>Possible reserves may be assigned where geoscience and engineering data identify directly adjacent portions of a reservoir within the same accumulation that may be separated from proved areas by faults with displacement less than formation thickness or other geological discontinuities and that have not been penetrated by a wellbore, and the registrant believes that such adjacent portions are in communication with the known (proved) reservoir. Possible reserves may be assigned to areas that are structurally higher or lower than the proved area if these areas are in communication with the proved reservoir.</w:t>
      </w:r>
    </w:p>
    <w:p>
      <w:pPr>
        <w:spacing w:after="0" w:line="2" w:lineRule="exact"/>
        <w:rPr>
          <w:rFonts w:ascii="Arial" w:cs="Arial" w:eastAsia="Arial" w:hAnsi="Arial"/>
          <w:sz w:val="16"/>
          <w:szCs w:val="16"/>
          <w:color w:val="auto"/>
        </w:rPr>
      </w:pPr>
    </w:p>
    <w:p>
      <w:pPr>
        <w:jc w:val="both"/>
        <w:ind w:left="641" w:hanging="317"/>
        <w:spacing w:after="0" w:line="250" w:lineRule="auto"/>
        <w:tabs>
          <w:tab w:leader="none" w:pos="641" w:val="left"/>
        </w:tabs>
        <w:numPr>
          <w:ilvl w:val="1"/>
          <w:numId w:val="82"/>
        </w:numPr>
        <w:rPr>
          <w:rFonts w:ascii="Arial" w:cs="Arial" w:eastAsia="Arial" w:hAnsi="Arial"/>
          <w:sz w:val="16"/>
          <w:szCs w:val="16"/>
          <w:color w:val="auto"/>
        </w:rPr>
      </w:pPr>
      <w:r>
        <w:rPr>
          <w:rFonts w:ascii="Arial" w:cs="Arial" w:eastAsia="Arial" w:hAnsi="Arial"/>
          <w:sz w:val="16"/>
          <w:szCs w:val="16"/>
          <w:color w:val="auto"/>
        </w:rPr>
        <w:t>Pursuant to paragraph (a)(22)(iii) of this section, where direct observation has defined a highest known oil (HKO) elevation and the potential exists for an associated gas cap, proved oil reserves should be assigned in the structurally higher portions of the reservoir above the HKO only if the higher contact can be established with reasonable certainty through reliable technology. Portions of the reservoir that do not meet this reasonable certainty criterion may be assigned as probable and possible oil or gas based on reservoir fluid properties and pressure gradient interpretations.</w:t>
      </w:r>
    </w:p>
    <w:p>
      <w:pPr>
        <w:spacing w:after="0" w:line="92" w:lineRule="exact"/>
        <w:rPr>
          <w:rFonts w:ascii="Arial" w:cs="Arial" w:eastAsia="Arial" w:hAnsi="Arial"/>
          <w:sz w:val="16"/>
          <w:szCs w:val="16"/>
          <w:color w:val="auto"/>
        </w:rPr>
      </w:pPr>
    </w:p>
    <w:p>
      <w:pPr>
        <w:ind w:left="1" w:hanging="1"/>
        <w:spacing w:after="0" w:line="281" w:lineRule="auto"/>
        <w:tabs>
          <w:tab w:leader="none" w:pos="366" w:val="left"/>
        </w:tabs>
        <w:numPr>
          <w:ilvl w:val="0"/>
          <w:numId w:val="82"/>
        </w:numPr>
        <w:rPr>
          <w:rFonts w:ascii="Arial" w:cs="Arial" w:eastAsia="Arial" w:hAnsi="Arial"/>
          <w:sz w:val="16"/>
          <w:szCs w:val="16"/>
          <w:color w:val="auto"/>
        </w:rPr>
      </w:pPr>
      <w:r>
        <w:rPr>
          <w:rFonts w:ascii="Arial" w:cs="Arial" w:eastAsia="Arial" w:hAnsi="Arial"/>
          <w:sz w:val="16"/>
          <w:szCs w:val="16"/>
          <w:i w:val="1"/>
          <w:iCs w:val="1"/>
          <w:color w:val="auto"/>
        </w:rPr>
        <w:t xml:space="preserve">Probable reserves. </w:t>
      </w:r>
      <w:r>
        <w:rPr>
          <w:rFonts w:ascii="Arial" w:cs="Arial" w:eastAsia="Arial" w:hAnsi="Arial"/>
          <w:sz w:val="16"/>
          <w:szCs w:val="16"/>
          <w:color w:val="auto"/>
        </w:rPr>
        <w:t>Probable reserves are those additional reserves that are less certain to be recovered than proved</w:t>
      </w:r>
      <w:r>
        <w:rPr>
          <w:rFonts w:ascii="Arial" w:cs="Arial" w:eastAsia="Arial" w:hAnsi="Arial"/>
          <w:sz w:val="16"/>
          <w:szCs w:val="16"/>
          <w:i w:val="1"/>
          <w:iCs w:val="1"/>
          <w:color w:val="auto"/>
        </w:rPr>
        <w:t xml:space="preserve"> </w:t>
      </w:r>
      <w:r>
        <w:rPr>
          <w:rFonts w:ascii="Arial" w:cs="Arial" w:eastAsia="Arial" w:hAnsi="Arial"/>
          <w:sz w:val="16"/>
          <w:szCs w:val="16"/>
          <w:color w:val="auto"/>
        </w:rPr>
        <w:t>reserves but which, together with proved reserves, are as likely as not to be recovered.</w:t>
      </w:r>
    </w:p>
    <w:p>
      <w:pPr>
        <w:spacing w:after="0" w:line="72" w:lineRule="exact"/>
        <w:rPr>
          <w:rFonts w:ascii="Arial" w:cs="Arial" w:eastAsia="Arial" w:hAnsi="Arial"/>
          <w:sz w:val="16"/>
          <w:szCs w:val="16"/>
          <w:color w:val="auto"/>
        </w:rPr>
      </w:pPr>
    </w:p>
    <w:p>
      <w:pPr>
        <w:jc w:val="both"/>
        <w:ind w:left="641" w:hanging="317"/>
        <w:spacing w:after="0" w:line="251" w:lineRule="auto"/>
        <w:tabs>
          <w:tab w:leader="none" w:pos="641" w:val="left"/>
        </w:tabs>
        <w:numPr>
          <w:ilvl w:val="1"/>
          <w:numId w:val="82"/>
        </w:numPr>
        <w:rPr>
          <w:rFonts w:ascii="Arial" w:cs="Arial" w:eastAsia="Arial" w:hAnsi="Arial"/>
          <w:sz w:val="16"/>
          <w:szCs w:val="16"/>
          <w:color w:val="auto"/>
        </w:rPr>
      </w:pPr>
      <w:r>
        <w:rPr>
          <w:rFonts w:ascii="Arial" w:cs="Arial" w:eastAsia="Arial" w:hAnsi="Arial"/>
          <w:sz w:val="16"/>
          <w:szCs w:val="16"/>
          <w:color w:val="auto"/>
        </w:rPr>
        <w:t>When deterministic methods are used, it is as likely as not that actual remaining quantities recovered will exceed the sum of estimated proved plus probable reserves. When probabilistic methods are used, there should be at least a 50% probability that the actual quantities recovered will equal or exceed the proved plus probable reserves estimates.</w:t>
      </w:r>
    </w:p>
    <w:p>
      <w:pPr>
        <w:spacing w:after="0" w:line="1" w:lineRule="exact"/>
        <w:rPr>
          <w:rFonts w:ascii="Arial" w:cs="Arial" w:eastAsia="Arial" w:hAnsi="Arial"/>
          <w:sz w:val="16"/>
          <w:szCs w:val="16"/>
          <w:color w:val="auto"/>
        </w:rPr>
      </w:pPr>
    </w:p>
    <w:p>
      <w:pPr>
        <w:jc w:val="both"/>
        <w:ind w:left="641" w:hanging="317"/>
        <w:spacing w:after="0" w:line="246" w:lineRule="auto"/>
        <w:tabs>
          <w:tab w:leader="none" w:pos="641" w:val="left"/>
        </w:tabs>
        <w:numPr>
          <w:ilvl w:val="1"/>
          <w:numId w:val="82"/>
        </w:numPr>
        <w:rPr>
          <w:rFonts w:ascii="Arial" w:cs="Arial" w:eastAsia="Arial" w:hAnsi="Arial"/>
          <w:sz w:val="16"/>
          <w:szCs w:val="16"/>
          <w:color w:val="auto"/>
        </w:rPr>
      </w:pPr>
      <w:r>
        <w:rPr>
          <w:rFonts w:ascii="Arial" w:cs="Arial" w:eastAsia="Arial" w:hAnsi="Arial"/>
          <w:sz w:val="16"/>
          <w:szCs w:val="16"/>
          <w:color w:val="auto"/>
        </w:rPr>
        <w:t>Probable reserves may be assigned to areas of a reservoir adjacent to proved reserves where data control or interpretations of available data are less certain, even if the interpreted reservoir continuity of structure or productivity does not meet the reasonable certainty criterion. Probable reserves may be assigned to areas that are structurally higher than the proved area if these areas are in communication with the proved reservoir.</w:t>
      </w:r>
    </w:p>
    <w:p>
      <w:pPr>
        <w:spacing w:after="0" w:line="1" w:lineRule="exact"/>
        <w:rPr>
          <w:rFonts w:ascii="Arial" w:cs="Arial" w:eastAsia="Arial" w:hAnsi="Arial"/>
          <w:sz w:val="16"/>
          <w:szCs w:val="16"/>
          <w:color w:val="auto"/>
        </w:rPr>
      </w:pPr>
    </w:p>
    <w:p>
      <w:pPr>
        <w:ind w:left="641" w:hanging="317"/>
        <w:spacing w:after="0" w:line="246" w:lineRule="auto"/>
        <w:tabs>
          <w:tab w:leader="none" w:pos="641" w:val="left"/>
        </w:tabs>
        <w:numPr>
          <w:ilvl w:val="1"/>
          <w:numId w:val="82"/>
        </w:numPr>
        <w:rPr>
          <w:rFonts w:ascii="Arial" w:cs="Arial" w:eastAsia="Arial" w:hAnsi="Arial"/>
          <w:sz w:val="16"/>
          <w:szCs w:val="16"/>
          <w:color w:val="auto"/>
        </w:rPr>
      </w:pPr>
      <w:r>
        <w:rPr>
          <w:rFonts w:ascii="Arial" w:cs="Arial" w:eastAsia="Arial" w:hAnsi="Arial"/>
          <w:sz w:val="16"/>
          <w:szCs w:val="16"/>
          <w:color w:val="auto"/>
        </w:rPr>
        <w:t>Probable reserves estimates also include potential incremental quantities associated with a greater percentage recovery of the hydrocarbons in place than assumed for proved reserves.</w:t>
      </w:r>
    </w:p>
    <w:p>
      <w:pPr>
        <w:ind w:left="641" w:hanging="317"/>
        <w:spacing w:after="0"/>
        <w:tabs>
          <w:tab w:leader="none" w:pos="641" w:val="left"/>
        </w:tabs>
        <w:numPr>
          <w:ilvl w:val="1"/>
          <w:numId w:val="82"/>
        </w:numPr>
        <w:rPr>
          <w:rFonts w:ascii="Arial" w:cs="Arial" w:eastAsia="Arial" w:hAnsi="Arial"/>
          <w:sz w:val="16"/>
          <w:szCs w:val="16"/>
          <w:color w:val="auto"/>
        </w:rPr>
      </w:pPr>
      <w:r>
        <w:rPr>
          <w:rFonts w:ascii="Arial" w:cs="Arial" w:eastAsia="Arial" w:hAnsi="Arial"/>
          <w:sz w:val="16"/>
          <w:szCs w:val="16"/>
          <w:color w:val="auto"/>
        </w:rPr>
        <w:t>See also guidelines in paragraphs (a)(17)(iv) and (a)(17)(vi) of this section.</w:t>
      </w:r>
    </w:p>
    <w:p>
      <w:pPr>
        <w:spacing w:after="0" w:line="25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Definitions - Page 3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352425</wp:posOffset>
            </wp:positionV>
            <wp:extent cx="5880735"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1">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1"/>
          </w:cols>
          <w:pgMar w:left="1319" w:top="1016" w:right="13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833755</wp:posOffset>
            </wp:positionH>
            <wp:positionV relativeFrom="page">
              <wp:posOffset>337185</wp:posOffset>
            </wp:positionV>
            <wp:extent cx="1868805" cy="2571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2">
                      <a:clrChange>
                        <a:clrFrom>
                          <a:srgbClr val="FFFFFF"/>
                        </a:clrFrom>
                        <a:clrTo>
                          <a:srgbClr val="FFFFFF">
                            <a:alpha val="0"/>
                          </a:srgbClr>
                        </a:clrTo>
                      </a:clrChange>
                      <a:extLst>
                        <a:ext uri="{28A0092B-C50C-407E-A947-70E740481C1C}"/>
                      </a:extLst>
                    </a:blip>
                    <a:srcRect/>
                    <a:stretch>
                      <a:fillRect/>
                    </a:stretch>
                  </pic:blipFill>
                  <pic:spPr bwMode="auto">
                    <a:xfrm>
                      <a:off x="0" y="0"/>
                      <a:ext cx="1868805" cy="257175"/>
                    </a:xfrm>
                    <a:prstGeom prst="rect">
                      <a:avLst/>
                    </a:prstGeom>
                    <a:noFill/>
                  </pic:spPr>
                </pic:pic>
              </a:graphicData>
            </a:graphic>
          </wp:anchor>
        </w:drawing>
        <w:t>DEFINITIONS OF OIL AND GAS RESERVES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Adapted from U.S. Securities and Exchange Commission Regulation S-X Section 210.4-10(a)</w:t>
      </w:r>
    </w:p>
    <w:p>
      <w:pPr>
        <w:spacing w:after="0" w:line="200" w:lineRule="exact"/>
        <w:rPr>
          <w:sz w:val="20"/>
          <w:szCs w:val="20"/>
          <w:color w:val="auto"/>
        </w:rPr>
      </w:pPr>
    </w:p>
    <w:p>
      <w:pPr>
        <w:spacing w:after="0" w:line="228" w:lineRule="exact"/>
        <w:rPr>
          <w:sz w:val="20"/>
          <w:szCs w:val="20"/>
          <w:color w:val="auto"/>
        </w:rPr>
      </w:pPr>
    </w:p>
    <w:p>
      <w:pPr>
        <w:jc w:val="both"/>
        <w:ind w:left="1" w:hanging="1"/>
        <w:spacing w:after="0" w:line="263" w:lineRule="auto"/>
        <w:tabs>
          <w:tab w:leader="none" w:pos="334" w:val="left"/>
        </w:tabs>
        <w:numPr>
          <w:ilvl w:val="0"/>
          <w:numId w:val="83"/>
        </w:numPr>
        <w:rPr>
          <w:rFonts w:ascii="Arial" w:cs="Arial" w:eastAsia="Arial" w:hAnsi="Arial"/>
          <w:sz w:val="16"/>
          <w:szCs w:val="16"/>
          <w:color w:val="auto"/>
        </w:rPr>
      </w:pPr>
      <w:r>
        <w:rPr>
          <w:rFonts w:ascii="Arial" w:cs="Arial" w:eastAsia="Arial" w:hAnsi="Arial"/>
          <w:sz w:val="16"/>
          <w:szCs w:val="16"/>
          <w:i w:val="1"/>
          <w:iCs w:val="1"/>
          <w:color w:val="auto"/>
        </w:rPr>
        <w:t xml:space="preserve">Probabilistic estimate. </w:t>
      </w:r>
      <w:r>
        <w:rPr>
          <w:rFonts w:ascii="Arial" w:cs="Arial" w:eastAsia="Arial" w:hAnsi="Arial"/>
          <w:sz w:val="16"/>
          <w:szCs w:val="16"/>
          <w:color w:val="auto"/>
        </w:rPr>
        <w:t>The method of estimation of reserves or resources is called probabilistic when the full range of values</w:t>
      </w:r>
      <w:r>
        <w:rPr>
          <w:rFonts w:ascii="Arial" w:cs="Arial" w:eastAsia="Arial" w:hAnsi="Arial"/>
          <w:sz w:val="16"/>
          <w:szCs w:val="16"/>
          <w:i w:val="1"/>
          <w:iCs w:val="1"/>
          <w:color w:val="auto"/>
        </w:rPr>
        <w:t xml:space="preserve"> </w:t>
      </w:r>
      <w:r>
        <w:rPr>
          <w:rFonts w:ascii="Arial" w:cs="Arial" w:eastAsia="Arial" w:hAnsi="Arial"/>
          <w:sz w:val="16"/>
          <w:szCs w:val="16"/>
          <w:color w:val="auto"/>
        </w:rPr>
        <w:t>that could reasonably occur for each unknown parameter (from the geoscience and engineering data) is used to generate a full range of possible outcomes and their associated probabilities of occurrence.</w:t>
      </w:r>
    </w:p>
    <w:p>
      <w:pPr>
        <w:spacing w:after="0" w:line="83" w:lineRule="exact"/>
        <w:rPr>
          <w:rFonts w:ascii="Arial" w:cs="Arial" w:eastAsia="Arial" w:hAnsi="Arial"/>
          <w:sz w:val="16"/>
          <w:szCs w:val="16"/>
          <w:color w:val="auto"/>
        </w:rPr>
      </w:pPr>
    </w:p>
    <w:p>
      <w:pPr>
        <w:ind w:left="341" w:hanging="341"/>
        <w:spacing w:after="0"/>
        <w:tabs>
          <w:tab w:leader="none" w:pos="341" w:val="left"/>
        </w:tabs>
        <w:numPr>
          <w:ilvl w:val="0"/>
          <w:numId w:val="83"/>
        </w:numPr>
        <w:rPr>
          <w:rFonts w:ascii="Arial" w:cs="Arial" w:eastAsia="Arial" w:hAnsi="Arial"/>
          <w:sz w:val="16"/>
          <w:szCs w:val="16"/>
          <w:color w:val="auto"/>
        </w:rPr>
      </w:pPr>
      <w:r>
        <w:rPr>
          <w:rFonts w:ascii="Arial" w:cs="Arial" w:eastAsia="Arial" w:hAnsi="Arial"/>
          <w:sz w:val="16"/>
          <w:szCs w:val="16"/>
          <w:i w:val="1"/>
          <w:iCs w:val="1"/>
          <w:color w:val="auto"/>
        </w:rPr>
        <w:t>Production costs</w:t>
      </w:r>
      <w:r>
        <w:rPr>
          <w:rFonts w:ascii="Arial" w:cs="Arial" w:eastAsia="Arial" w:hAnsi="Arial"/>
          <w:sz w:val="16"/>
          <w:szCs w:val="16"/>
          <w:color w:val="auto"/>
        </w:rPr>
        <w:t>.</w:t>
      </w:r>
    </w:p>
    <w:p>
      <w:pPr>
        <w:spacing w:after="0" w:line="130" w:lineRule="exact"/>
        <w:rPr>
          <w:rFonts w:ascii="Arial" w:cs="Arial" w:eastAsia="Arial" w:hAnsi="Arial"/>
          <w:sz w:val="16"/>
          <w:szCs w:val="16"/>
          <w:color w:val="auto"/>
        </w:rPr>
      </w:pPr>
    </w:p>
    <w:p>
      <w:pPr>
        <w:jc w:val="both"/>
        <w:ind w:left="641" w:hanging="317"/>
        <w:spacing w:after="0" w:line="256" w:lineRule="auto"/>
        <w:tabs>
          <w:tab w:leader="none" w:pos="641" w:val="left"/>
        </w:tabs>
        <w:numPr>
          <w:ilvl w:val="1"/>
          <w:numId w:val="83"/>
        </w:numPr>
        <w:rPr>
          <w:rFonts w:ascii="Arial" w:cs="Arial" w:eastAsia="Arial" w:hAnsi="Arial"/>
          <w:sz w:val="16"/>
          <w:szCs w:val="16"/>
          <w:color w:val="auto"/>
        </w:rPr>
      </w:pPr>
      <w:r>
        <w:rPr>
          <w:rFonts w:ascii="Arial" w:cs="Arial" w:eastAsia="Arial" w:hAnsi="Arial"/>
          <w:sz w:val="16"/>
          <w:szCs w:val="16"/>
          <w:color w:val="auto"/>
        </w:rPr>
        <w:t>Costs incurred to operate and maintain wells and related equipment and facilities, including depreciation and applicable operating costs of support equipment and facilities and other costs of operating and maintaining those wells and related equipment and facilities. They become part of the cost of oil and gas produced. Examples of production costs (sometimes called lifting costs) are:</w:t>
      </w:r>
    </w:p>
    <w:p>
      <w:pPr>
        <w:spacing w:after="0" w:line="92" w:lineRule="exact"/>
        <w:rPr>
          <w:rFonts w:ascii="Arial" w:cs="Arial" w:eastAsia="Arial" w:hAnsi="Arial"/>
          <w:sz w:val="16"/>
          <w:szCs w:val="16"/>
          <w:color w:val="auto"/>
        </w:rPr>
      </w:pPr>
    </w:p>
    <w:p>
      <w:pPr>
        <w:ind w:left="981" w:hanging="333"/>
        <w:spacing w:after="0"/>
        <w:tabs>
          <w:tab w:leader="none" w:pos="981" w:val="left"/>
        </w:tabs>
        <w:numPr>
          <w:ilvl w:val="2"/>
          <w:numId w:val="83"/>
        </w:numPr>
        <w:rPr>
          <w:rFonts w:ascii="Arial" w:cs="Arial" w:eastAsia="Arial" w:hAnsi="Arial"/>
          <w:sz w:val="16"/>
          <w:szCs w:val="16"/>
          <w:color w:val="auto"/>
        </w:rPr>
      </w:pPr>
      <w:r>
        <w:rPr>
          <w:rFonts w:ascii="Arial" w:cs="Arial" w:eastAsia="Arial" w:hAnsi="Arial"/>
          <w:sz w:val="16"/>
          <w:szCs w:val="16"/>
          <w:color w:val="auto"/>
        </w:rPr>
        <w:t>Costs of labor to operate the wells and related equipment and facilities.</w:t>
      </w:r>
    </w:p>
    <w:p>
      <w:pPr>
        <w:spacing w:after="0" w:line="17" w:lineRule="exact"/>
        <w:rPr>
          <w:rFonts w:ascii="Arial" w:cs="Arial" w:eastAsia="Arial" w:hAnsi="Arial"/>
          <w:sz w:val="16"/>
          <w:szCs w:val="16"/>
          <w:color w:val="auto"/>
        </w:rPr>
      </w:pPr>
    </w:p>
    <w:p>
      <w:pPr>
        <w:ind w:left="981" w:hanging="333"/>
        <w:spacing w:after="0"/>
        <w:tabs>
          <w:tab w:leader="none" w:pos="981" w:val="left"/>
        </w:tabs>
        <w:numPr>
          <w:ilvl w:val="2"/>
          <w:numId w:val="83"/>
        </w:numPr>
        <w:rPr>
          <w:rFonts w:ascii="Arial" w:cs="Arial" w:eastAsia="Arial" w:hAnsi="Arial"/>
          <w:sz w:val="16"/>
          <w:szCs w:val="16"/>
          <w:color w:val="auto"/>
        </w:rPr>
      </w:pPr>
      <w:r>
        <w:rPr>
          <w:rFonts w:ascii="Arial" w:cs="Arial" w:eastAsia="Arial" w:hAnsi="Arial"/>
          <w:sz w:val="16"/>
          <w:szCs w:val="16"/>
          <w:color w:val="auto"/>
        </w:rPr>
        <w:t>Repairs and maintenance.</w:t>
      </w:r>
    </w:p>
    <w:p>
      <w:pPr>
        <w:spacing w:after="0" w:line="5" w:lineRule="exact"/>
        <w:rPr>
          <w:rFonts w:ascii="Arial" w:cs="Arial" w:eastAsia="Arial" w:hAnsi="Arial"/>
          <w:sz w:val="16"/>
          <w:szCs w:val="16"/>
          <w:color w:val="auto"/>
        </w:rPr>
      </w:pPr>
    </w:p>
    <w:p>
      <w:pPr>
        <w:ind w:left="981" w:hanging="333"/>
        <w:spacing w:after="0" w:line="246" w:lineRule="auto"/>
        <w:tabs>
          <w:tab w:leader="none" w:pos="981" w:val="left"/>
        </w:tabs>
        <w:numPr>
          <w:ilvl w:val="2"/>
          <w:numId w:val="83"/>
        </w:numPr>
        <w:rPr>
          <w:rFonts w:ascii="Arial" w:cs="Arial" w:eastAsia="Arial" w:hAnsi="Arial"/>
          <w:sz w:val="16"/>
          <w:szCs w:val="16"/>
          <w:color w:val="auto"/>
        </w:rPr>
      </w:pPr>
      <w:r>
        <w:rPr>
          <w:rFonts w:ascii="Arial" w:cs="Arial" w:eastAsia="Arial" w:hAnsi="Arial"/>
          <w:sz w:val="16"/>
          <w:szCs w:val="16"/>
          <w:color w:val="auto"/>
        </w:rPr>
        <w:t>Materials, supplies, and fuel consumed and supplies utilized in operating the wells and related equipment and facilities.</w:t>
      </w:r>
    </w:p>
    <w:p>
      <w:pPr>
        <w:ind w:left="981" w:hanging="333"/>
        <w:spacing w:after="0"/>
        <w:tabs>
          <w:tab w:leader="none" w:pos="981" w:val="left"/>
        </w:tabs>
        <w:numPr>
          <w:ilvl w:val="2"/>
          <w:numId w:val="83"/>
        </w:numPr>
        <w:rPr>
          <w:rFonts w:ascii="Arial" w:cs="Arial" w:eastAsia="Arial" w:hAnsi="Arial"/>
          <w:sz w:val="16"/>
          <w:szCs w:val="16"/>
          <w:color w:val="auto"/>
        </w:rPr>
      </w:pPr>
      <w:r>
        <w:rPr>
          <w:rFonts w:ascii="Arial" w:cs="Arial" w:eastAsia="Arial" w:hAnsi="Arial"/>
          <w:sz w:val="16"/>
          <w:szCs w:val="16"/>
          <w:color w:val="auto"/>
        </w:rPr>
        <w:t>Property taxes and insurance applicable to proved properties and wells and related equipment and facilities.</w:t>
      </w:r>
    </w:p>
    <w:p>
      <w:pPr>
        <w:spacing w:after="0" w:line="5" w:lineRule="exact"/>
        <w:rPr>
          <w:rFonts w:ascii="Arial" w:cs="Arial" w:eastAsia="Arial" w:hAnsi="Arial"/>
          <w:sz w:val="16"/>
          <w:szCs w:val="16"/>
          <w:color w:val="auto"/>
        </w:rPr>
      </w:pPr>
    </w:p>
    <w:p>
      <w:pPr>
        <w:ind w:left="981" w:hanging="333"/>
        <w:spacing w:after="0"/>
        <w:tabs>
          <w:tab w:leader="none" w:pos="981" w:val="left"/>
        </w:tabs>
        <w:numPr>
          <w:ilvl w:val="2"/>
          <w:numId w:val="83"/>
        </w:numPr>
        <w:rPr>
          <w:rFonts w:ascii="Arial" w:cs="Arial" w:eastAsia="Arial" w:hAnsi="Arial"/>
          <w:sz w:val="16"/>
          <w:szCs w:val="16"/>
          <w:color w:val="auto"/>
        </w:rPr>
      </w:pPr>
      <w:r>
        <w:rPr>
          <w:rFonts w:ascii="Arial" w:cs="Arial" w:eastAsia="Arial" w:hAnsi="Arial"/>
          <w:sz w:val="16"/>
          <w:szCs w:val="16"/>
          <w:color w:val="auto"/>
        </w:rPr>
        <w:t>Severance taxes.</w:t>
      </w:r>
    </w:p>
    <w:p>
      <w:pPr>
        <w:spacing w:after="0" w:line="114" w:lineRule="exact"/>
        <w:rPr>
          <w:rFonts w:ascii="Arial" w:cs="Arial" w:eastAsia="Arial" w:hAnsi="Arial"/>
          <w:sz w:val="16"/>
          <w:szCs w:val="16"/>
          <w:color w:val="auto"/>
        </w:rPr>
      </w:pPr>
    </w:p>
    <w:p>
      <w:pPr>
        <w:jc w:val="both"/>
        <w:ind w:left="641" w:hanging="317"/>
        <w:spacing w:after="0" w:line="252" w:lineRule="auto"/>
        <w:tabs>
          <w:tab w:leader="none" w:pos="641" w:val="left"/>
        </w:tabs>
        <w:numPr>
          <w:ilvl w:val="1"/>
          <w:numId w:val="83"/>
        </w:numPr>
        <w:rPr>
          <w:rFonts w:ascii="Arial" w:cs="Arial" w:eastAsia="Arial" w:hAnsi="Arial"/>
          <w:sz w:val="16"/>
          <w:szCs w:val="16"/>
          <w:color w:val="auto"/>
        </w:rPr>
      </w:pPr>
      <w:r>
        <w:rPr>
          <w:rFonts w:ascii="Arial" w:cs="Arial" w:eastAsia="Arial" w:hAnsi="Arial"/>
          <w:sz w:val="16"/>
          <w:szCs w:val="16"/>
          <w:color w:val="auto"/>
        </w:rPr>
        <w:t>Some support equipment or facilities may serve two or more oil and gas producing activities and may also serve transportation, refining, and marketing activities. To the extent that the support equipment and facilities are used in oil and gas producing activities, their depreciation and applicable operating costs become exploration, development or production costs, as appropriate. Depreciation, depletion, and amortization of capitalized acquisition, exploration, and development costs are not production costs but also become part of the cost of oil and gas produced along with production (lifting) costs identified above.</w:t>
      </w:r>
    </w:p>
    <w:p>
      <w:pPr>
        <w:spacing w:after="0" w:line="92" w:lineRule="exact"/>
        <w:rPr>
          <w:rFonts w:ascii="Arial" w:cs="Arial" w:eastAsia="Arial" w:hAnsi="Arial"/>
          <w:sz w:val="16"/>
          <w:szCs w:val="16"/>
          <w:color w:val="auto"/>
        </w:rPr>
      </w:pPr>
    </w:p>
    <w:p>
      <w:pPr>
        <w:ind w:left="341" w:hanging="341"/>
        <w:spacing w:after="0"/>
        <w:tabs>
          <w:tab w:leader="none" w:pos="341" w:val="left"/>
        </w:tabs>
        <w:numPr>
          <w:ilvl w:val="0"/>
          <w:numId w:val="83"/>
        </w:numPr>
        <w:rPr>
          <w:rFonts w:ascii="Arial" w:cs="Arial" w:eastAsia="Arial" w:hAnsi="Arial"/>
          <w:sz w:val="16"/>
          <w:szCs w:val="16"/>
          <w:color w:val="auto"/>
        </w:rPr>
      </w:pPr>
      <w:r>
        <w:rPr>
          <w:rFonts w:ascii="Arial" w:cs="Arial" w:eastAsia="Arial" w:hAnsi="Arial"/>
          <w:sz w:val="16"/>
          <w:szCs w:val="16"/>
          <w:i w:val="1"/>
          <w:iCs w:val="1"/>
          <w:color w:val="auto"/>
        </w:rPr>
        <w:t xml:space="preserve">Proved area. </w:t>
      </w:r>
      <w:r>
        <w:rPr>
          <w:rFonts w:ascii="Arial" w:cs="Arial" w:eastAsia="Arial" w:hAnsi="Arial"/>
          <w:sz w:val="16"/>
          <w:szCs w:val="16"/>
          <w:color w:val="auto"/>
        </w:rPr>
        <w:t>The part of a property to which proved reserves have been specifically attributed.</w:t>
      </w:r>
    </w:p>
    <w:p>
      <w:pPr>
        <w:spacing w:after="0" w:line="126" w:lineRule="exact"/>
        <w:rPr>
          <w:rFonts w:ascii="Arial" w:cs="Arial" w:eastAsia="Arial" w:hAnsi="Arial"/>
          <w:sz w:val="16"/>
          <w:szCs w:val="16"/>
          <w:color w:val="auto"/>
        </w:rPr>
      </w:pPr>
    </w:p>
    <w:p>
      <w:pPr>
        <w:jc w:val="both"/>
        <w:ind w:left="1" w:hanging="1"/>
        <w:spacing w:after="0" w:line="253" w:lineRule="auto"/>
        <w:tabs>
          <w:tab w:leader="none" w:pos="361" w:val="left"/>
        </w:tabs>
        <w:numPr>
          <w:ilvl w:val="0"/>
          <w:numId w:val="83"/>
        </w:numPr>
        <w:rPr>
          <w:rFonts w:ascii="Arial" w:cs="Arial" w:eastAsia="Arial" w:hAnsi="Arial"/>
          <w:sz w:val="16"/>
          <w:szCs w:val="16"/>
          <w:color w:val="auto"/>
        </w:rPr>
      </w:pPr>
      <w:r>
        <w:rPr>
          <w:rFonts w:ascii="Arial" w:cs="Arial" w:eastAsia="Arial" w:hAnsi="Arial"/>
          <w:sz w:val="16"/>
          <w:szCs w:val="16"/>
          <w:i w:val="1"/>
          <w:iCs w:val="1"/>
          <w:color w:val="auto"/>
        </w:rPr>
        <w:t xml:space="preserve">Proved oil and gas reserves. </w:t>
      </w:r>
      <w:r>
        <w:rPr>
          <w:rFonts w:ascii="Arial" w:cs="Arial" w:eastAsia="Arial" w:hAnsi="Arial"/>
          <w:sz w:val="16"/>
          <w:szCs w:val="16"/>
          <w:color w:val="auto"/>
        </w:rPr>
        <w:t>Proved oil and gas reserves are those quantities of oil and gas, which, by analysis of</w:t>
      </w:r>
      <w:r>
        <w:rPr>
          <w:rFonts w:ascii="Arial" w:cs="Arial" w:eastAsia="Arial" w:hAnsi="Arial"/>
          <w:sz w:val="16"/>
          <w:szCs w:val="16"/>
          <w:i w:val="1"/>
          <w:iCs w:val="1"/>
          <w:color w:val="auto"/>
        </w:rPr>
        <w:t xml:space="preserve"> </w:t>
      </w:r>
      <w:r>
        <w:rPr>
          <w:rFonts w:ascii="Arial" w:cs="Arial" w:eastAsia="Arial" w:hAnsi="Arial"/>
          <w:sz w:val="16"/>
          <w:szCs w:val="16"/>
          <w:color w:val="auto"/>
        </w:rPr>
        <w:t>geoscience 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95" w:lineRule="exact"/>
        <w:rPr>
          <w:rFonts w:ascii="Arial" w:cs="Arial" w:eastAsia="Arial" w:hAnsi="Arial"/>
          <w:sz w:val="16"/>
          <w:szCs w:val="16"/>
          <w:color w:val="auto"/>
        </w:rPr>
      </w:pPr>
    </w:p>
    <w:p>
      <w:pPr>
        <w:ind w:left="641" w:hanging="317"/>
        <w:spacing w:after="0"/>
        <w:tabs>
          <w:tab w:leader="none" w:pos="641" w:val="left"/>
        </w:tabs>
        <w:numPr>
          <w:ilvl w:val="1"/>
          <w:numId w:val="83"/>
        </w:numPr>
        <w:rPr>
          <w:rFonts w:ascii="Arial" w:cs="Arial" w:eastAsia="Arial" w:hAnsi="Arial"/>
          <w:sz w:val="16"/>
          <w:szCs w:val="16"/>
          <w:color w:val="auto"/>
        </w:rPr>
      </w:pPr>
      <w:r>
        <w:rPr>
          <w:rFonts w:ascii="Arial" w:cs="Arial" w:eastAsia="Arial" w:hAnsi="Arial"/>
          <w:sz w:val="16"/>
          <w:szCs w:val="16"/>
          <w:color w:val="auto"/>
        </w:rPr>
        <w:t>The area of the reservoir considered as proved includes:</w:t>
      </w:r>
    </w:p>
    <w:p>
      <w:pPr>
        <w:spacing w:after="0" w:line="126" w:lineRule="exact"/>
        <w:rPr>
          <w:rFonts w:ascii="Arial" w:cs="Arial" w:eastAsia="Arial" w:hAnsi="Arial"/>
          <w:sz w:val="16"/>
          <w:szCs w:val="16"/>
          <w:color w:val="auto"/>
        </w:rPr>
      </w:pPr>
    </w:p>
    <w:p>
      <w:pPr>
        <w:ind w:left="981" w:hanging="333"/>
        <w:spacing w:after="0"/>
        <w:tabs>
          <w:tab w:leader="none" w:pos="981" w:val="left"/>
        </w:tabs>
        <w:numPr>
          <w:ilvl w:val="2"/>
          <w:numId w:val="83"/>
        </w:numPr>
        <w:rPr>
          <w:rFonts w:ascii="Arial" w:cs="Arial" w:eastAsia="Arial" w:hAnsi="Arial"/>
          <w:sz w:val="16"/>
          <w:szCs w:val="16"/>
          <w:color w:val="auto"/>
        </w:rPr>
      </w:pPr>
      <w:r>
        <w:rPr>
          <w:rFonts w:ascii="Arial" w:cs="Arial" w:eastAsia="Arial" w:hAnsi="Arial"/>
          <w:sz w:val="16"/>
          <w:szCs w:val="16"/>
          <w:color w:val="auto"/>
        </w:rPr>
        <w:t>The area identified by drilling and limited by fluid contacts, if any, and</w:t>
      </w:r>
    </w:p>
    <w:p>
      <w:pPr>
        <w:spacing w:after="0" w:line="17" w:lineRule="exact"/>
        <w:rPr>
          <w:rFonts w:ascii="Arial" w:cs="Arial" w:eastAsia="Arial" w:hAnsi="Arial"/>
          <w:sz w:val="16"/>
          <w:szCs w:val="16"/>
          <w:color w:val="auto"/>
        </w:rPr>
      </w:pPr>
    </w:p>
    <w:p>
      <w:pPr>
        <w:ind w:left="981" w:hanging="333"/>
        <w:spacing w:after="0" w:line="260" w:lineRule="auto"/>
        <w:tabs>
          <w:tab w:leader="none" w:pos="981" w:val="left"/>
        </w:tabs>
        <w:numPr>
          <w:ilvl w:val="2"/>
          <w:numId w:val="83"/>
        </w:numPr>
        <w:rPr>
          <w:rFonts w:ascii="Arial" w:cs="Arial" w:eastAsia="Arial" w:hAnsi="Arial"/>
          <w:sz w:val="16"/>
          <w:szCs w:val="16"/>
          <w:color w:val="auto"/>
        </w:rPr>
      </w:pPr>
      <w:r>
        <w:rPr>
          <w:rFonts w:ascii="Arial" w:cs="Arial" w:eastAsia="Arial" w:hAnsi="Arial"/>
          <w:sz w:val="16"/>
          <w:szCs w:val="16"/>
          <w:color w:val="auto"/>
        </w:rPr>
        <w:t>Adjacent undrilled portions of the reservoir that can, with reasonable certainty, be judged to be continuous with it and to contain economically producible oil or gas on the basis of available geoscience and engineering data.</w:t>
      </w:r>
    </w:p>
    <w:p>
      <w:pPr>
        <w:spacing w:after="0" w:line="88" w:lineRule="exact"/>
        <w:rPr>
          <w:rFonts w:ascii="Arial" w:cs="Arial" w:eastAsia="Arial" w:hAnsi="Arial"/>
          <w:sz w:val="16"/>
          <w:szCs w:val="16"/>
          <w:color w:val="auto"/>
        </w:rPr>
      </w:pPr>
    </w:p>
    <w:p>
      <w:pPr>
        <w:jc w:val="both"/>
        <w:ind w:left="641" w:hanging="317"/>
        <w:spacing w:after="0" w:line="251" w:lineRule="auto"/>
        <w:tabs>
          <w:tab w:leader="none" w:pos="641" w:val="left"/>
        </w:tabs>
        <w:numPr>
          <w:ilvl w:val="1"/>
          <w:numId w:val="83"/>
        </w:numPr>
        <w:rPr>
          <w:rFonts w:ascii="Arial" w:cs="Arial" w:eastAsia="Arial" w:hAnsi="Arial"/>
          <w:sz w:val="16"/>
          <w:szCs w:val="16"/>
          <w:color w:val="auto"/>
        </w:rPr>
      </w:pPr>
      <w:r>
        <w:rPr>
          <w:rFonts w:ascii="Arial" w:cs="Arial" w:eastAsia="Arial" w:hAnsi="Arial"/>
          <w:sz w:val="16"/>
          <w:szCs w:val="16"/>
          <w:color w:val="auto"/>
        </w:rPr>
        <w:t>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w:t>
      </w:r>
    </w:p>
    <w:p>
      <w:pPr>
        <w:spacing w:after="0" w:line="1" w:lineRule="exact"/>
        <w:rPr>
          <w:rFonts w:ascii="Arial" w:cs="Arial" w:eastAsia="Arial" w:hAnsi="Arial"/>
          <w:sz w:val="16"/>
          <w:szCs w:val="16"/>
          <w:color w:val="auto"/>
        </w:rPr>
      </w:pPr>
    </w:p>
    <w:p>
      <w:pPr>
        <w:jc w:val="both"/>
        <w:ind w:left="641" w:hanging="317"/>
        <w:spacing w:after="0" w:line="246" w:lineRule="auto"/>
        <w:tabs>
          <w:tab w:leader="none" w:pos="641" w:val="left"/>
        </w:tabs>
        <w:numPr>
          <w:ilvl w:val="1"/>
          <w:numId w:val="83"/>
        </w:numPr>
        <w:rPr>
          <w:rFonts w:ascii="Arial" w:cs="Arial" w:eastAsia="Arial" w:hAnsi="Arial"/>
          <w:sz w:val="16"/>
          <w:szCs w:val="16"/>
          <w:color w:val="auto"/>
        </w:rPr>
      </w:pPr>
      <w:r>
        <w:rPr>
          <w:rFonts w:ascii="Arial" w:cs="Arial" w:eastAsia="Arial" w:hAnsi="Arial"/>
          <w:sz w:val="16"/>
          <w:szCs w:val="16"/>
          <w:color w:val="auto"/>
        </w:rPr>
        <w:t>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w:t>
      </w:r>
    </w:p>
    <w:p>
      <w:pPr>
        <w:spacing w:after="0" w:line="1" w:lineRule="exact"/>
        <w:rPr>
          <w:rFonts w:ascii="Arial" w:cs="Arial" w:eastAsia="Arial" w:hAnsi="Arial"/>
          <w:sz w:val="16"/>
          <w:szCs w:val="16"/>
          <w:color w:val="auto"/>
        </w:rPr>
      </w:pPr>
    </w:p>
    <w:p>
      <w:pPr>
        <w:ind w:left="641" w:hanging="317"/>
        <w:spacing w:after="0" w:line="260" w:lineRule="auto"/>
        <w:tabs>
          <w:tab w:leader="none" w:pos="641" w:val="left"/>
        </w:tabs>
        <w:numPr>
          <w:ilvl w:val="1"/>
          <w:numId w:val="83"/>
        </w:numPr>
        <w:rPr>
          <w:rFonts w:ascii="Arial" w:cs="Arial" w:eastAsia="Arial" w:hAnsi="Arial"/>
          <w:sz w:val="16"/>
          <w:szCs w:val="16"/>
          <w:color w:val="auto"/>
        </w:rPr>
      </w:pPr>
      <w:r>
        <w:rPr>
          <w:rFonts w:ascii="Arial" w:cs="Arial" w:eastAsia="Arial" w:hAnsi="Arial"/>
          <w:sz w:val="16"/>
          <w:szCs w:val="16"/>
          <w:color w:val="auto"/>
        </w:rPr>
        <w:t>Reserves which can be produced economically through application of improved recovery techniques (including, but not limited to, fluid injection) are included in the proved classification when:</w:t>
      </w:r>
    </w:p>
    <w:p>
      <w:pPr>
        <w:spacing w:after="0" w:line="88" w:lineRule="exact"/>
        <w:rPr>
          <w:rFonts w:ascii="Arial" w:cs="Arial" w:eastAsia="Arial" w:hAnsi="Arial"/>
          <w:sz w:val="16"/>
          <w:szCs w:val="16"/>
          <w:color w:val="auto"/>
        </w:rPr>
      </w:pPr>
    </w:p>
    <w:p>
      <w:pPr>
        <w:jc w:val="both"/>
        <w:ind w:left="981" w:hanging="333"/>
        <w:spacing w:after="0" w:line="250" w:lineRule="auto"/>
        <w:tabs>
          <w:tab w:leader="none" w:pos="981" w:val="left"/>
        </w:tabs>
        <w:numPr>
          <w:ilvl w:val="2"/>
          <w:numId w:val="83"/>
        </w:numPr>
        <w:rPr>
          <w:rFonts w:ascii="Arial" w:cs="Arial" w:eastAsia="Arial" w:hAnsi="Arial"/>
          <w:sz w:val="16"/>
          <w:szCs w:val="16"/>
          <w:color w:val="auto"/>
        </w:rPr>
      </w:pPr>
      <w:r>
        <w:rPr>
          <w:rFonts w:ascii="Arial" w:cs="Arial" w:eastAsia="Arial" w:hAnsi="Arial"/>
          <w:sz w:val="16"/>
          <w:szCs w:val="16"/>
          <w:color w:val="auto"/>
        </w:rPr>
        <w:t>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w:t>
      </w:r>
    </w:p>
    <w:p>
      <w:pPr>
        <w:spacing w:after="0" w:line="1" w:lineRule="exact"/>
        <w:rPr>
          <w:rFonts w:ascii="Arial" w:cs="Arial" w:eastAsia="Arial" w:hAnsi="Arial"/>
          <w:sz w:val="16"/>
          <w:szCs w:val="16"/>
          <w:color w:val="auto"/>
        </w:rPr>
      </w:pPr>
    </w:p>
    <w:p>
      <w:pPr>
        <w:ind w:left="981" w:hanging="333"/>
        <w:spacing w:after="0" w:line="260" w:lineRule="auto"/>
        <w:tabs>
          <w:tab w:leader="none" w:pos="981" w:val="left"/>
        </w:tabs>
        <w:numPr>
          <w:ilvl w:val="2"/>
          <w:numId w:val="83"/>
        </w:numPr>
        <w:rPr>
          <w:rFonts w:ascii="Arial" w:cs="Arial" w:eastAsia="Arial" w:hAnsi="Arial"/>
          <w:sz w:val="16"/>
          <w:szCs w:val="16"/>
          <w:color w:val="auto"/>
        </w:rPr>
      </w:pPr>
      <w:r>
        <w:rPr>
          <w:rFonts w:ascii="Arial" w:cs="Arial" w:eastAsia="Arial" w:hAnsi="Arial"/>
          <w:sz w:val="16"/>
          <w:szCs w:val="16"/>
          <w:color w:val="auto"/>
        </w:rPr>
        <w:t>The project has been approved for development by all necessary parties and entities, including governmental entities.</w:t>
      </w:r>
    </w:p>
    <w:p>
      <w:pPr>
        <w:spacing w:after="0" w:line="88" w:lineRule="exact"/>
        <w:rPr>
          <w:rFonts w:ascii="Arial" w:cs="Arial" w:eastAsia="Arial" w:hAnsi="Arial"/>
          <w:sz w:val="16"/>
          <w:szCs w:val="16"/>
          <w:color w:val="auto"/>
        </w:rPr>
      </w:pPr>
    </w:p>
    <w:p>
      <w:pPr>
        <w:jc w:val="both"/>
        <w:ind w:left="641" w:hanging="317"/>
        <w:spacing w:after="0" w:line="253" w:lineRule="auto"/>
        <w:tabs>
          <w:tab w:leader="none" w:pos="641" w:val="left"/>
        </w:tabs>
        <w:numPr>
          <w:ilvl w:val="1"/>
          <w:numId w:val="83"/>
        </w:numPr>
        <w:rPr>
          <w:rFonts w:ascii="Arial" w:cs="Arial" w:eastAsia="Arial" w:hAnsi="Arial"/>
          <w:sz w:val="16"/>
          <w:szCs w:val="16"/>
          <w:color w:val="auto"/>
        </w:rPr>
      </w:pPr>
      <w:r>
        <w:rPr>
          <w:rFonts w:ascii="Arial" w:cs="Arial" w:eastAsia="Arial" w:hAnsi="Arial"/>
          <w:sz w:val="16"/>
          <w:szCs w:val="16"/>
          <w:color w:val="auto"/>
        </w:rPr>
        <w:t>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pacing w:after="0" w:line="92" w:lineRule="exact"/>
        <w:rPr>
          <w:rFonts w:ascii="Arial" w:cs="Arial" w:eastAsia="Arial" w:hAnsi="Arial"/>
          <w:sz w:val="16"/>
          <w:szCs w:val="16"/>
          <w:color w:val="auto"/>
        </w:rPr>
      </w:pPr>
    </w:p>
    <w:p>
      <w:pPr>
        <w:ind w:left="341" w:hanging="341"/>
        <w:spacing w:after="0"/>
        <w:tabs>
          <w:tab w:leader="none" w:pos="341" w:val="left"/>
        </w:tabs>
        <w:numPr>
          <w:ilvl w:val="0"/>
          <w:numId w:val="83"/>
        </w:numPr>
        <w:rPr>
          <w:rFonts w:ascii="Arial" w:cs="Arial" w:eastAsia="Arial" w:hAnsi="Arial"/>
          <w:sz w:val="16"/>
          <w:szCs w:val="16"/>
          <w:color w:val="auto"/>
        </w:rPr>
      </w:pPr>
      <w:r>
        <w:rPr>
          <w:rFonts w:ascii="Arial" w:cs="Arial" w:eastAsia="Arial" w:hAnsi="Arial"/>
          <w:sz w:val="16"/>
          <w:szCs w:val="16"/>
          <w:i w:val="1"/>
          <w:iCs w:val="1"/>
          <w:color w:val="auto"/>
        </w:rPr>
        <w:t xml:space="preserve">Proved properties. </w:t>
      </w:r>
      <w:r>
        <w:rPr>
          <w:rFonts w:ascii="Arial" w:cs="Arial" w:eastAsia="Arial" w:hAnsi="Arial"/>
          <w:sz w:val="16"/>
          <w:szCs w:val="16"/>
          <w:color w:val="auto"/>
        </w:rPr>
        <w:t>Properties with proved reserves.</w:t>
      </w:r>
    </w:p>
    <w:p>
      <w:pPr>
        <w:spacing w:after="0" w:line="266" w:lineRule="exact"/>
        <w:rPr>
          <w:sz w:val="20"/>
          <w:szCs w:val="20"/>
          <w:color w:val="auto"/>
        </w:rPr>
      </w:pPr>
    </w:p>
    <w:p>
      <w:pPr>
        <w:ind w:left="7521"/>
        <w:spacing w:after="0"/>
        <w:rPr>
          <w:sz w:val="20"/>
          <w:szCs w:val="20"/>
          <w:color w:val="auto"/>
        </w:rPr>
      </w:pPr>
      <w:r>
        <w:rPr>
          <w:rFonts w:ascii="Arial" w:cs="Arial" w:eastAsia="Arial" w:hAnsi="Arial"/>
          <w:sz w:val="16"/>
          <w:szCs w:val="16"/>
          <w:color w:val="auto"/>
        </w:rPr>
        <w:t>Definitions - Page 4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352425</wp:posOffset>
            </wp:positionV>
            <wp:extent cx="588073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3">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1"/>
          </w:cols>
          <w:pgMar w:left="1319" w:top="1016" w:right="13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833755</wp:posOffset>
            </wp:positionH>
            <wp:positionV relativeFrom="page">
              <wp:posOffset>337185</wp:posOffset>
            </wp:positionV>
            <wp:extent cx="1868805" cy="2571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4">
                      <a:clrChange>
                        <a:clrFrom>
                          <a:srgbClr val="FFFFFF"/>
                        </a:clrFrom>
                        <a:clrTo>
                          <a:srgbClr val="FFFFFF">
                            <a:alpha val="0"/>
                          </a:srgbClr>
                        </a:clrTo>
                      </a:clrChange>
                      <a:extLst>
                        <a:ext uri="{28A0092B-C50C-407E-A947-70E740481C1C}"/>
                      </a:extLst>
                    </a:blip>
                    <a:srcRect/>
                    <a:stretch>
                      <a:fillRect/>
                    </a:stretch>
                  </pic:blipFill>
                  <pic:spPr bwMode="auto">
                    <a:xfrm>
                      <a:off x="0" y="0"/>
                      <a:ext cx="1868805" cy="257175"/>
                    </a:xfrm>
                    <a:prstGeom prst="rect">
                      <a:avLst/>
                    </a:prstGeom>
                    <a:noFill/>
                  </pic:spPr>
                </pic:pic>
              </a:graphicData>
            </a:graphic>
          </wp:anchor>
        </w:drawing>
        <w:t>DEFINITIONS OF OIL AND GAS RESERVES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Adapted from U.S. Securities and Exchange Commission Regulation S-X Section 210.4-10(a)</w:t>
      </w:r>
    </w:p>
    <w:p>
      <w:pPr>
        <w:spacing w:after="0" w:line="200" w:lineRule="exact"/>
        <w:rPr>
          <w:sz w:val="20"/>
          <w:szCs w:val="20"/>
          <w:color w:val="auto"/>
        </w:rPr>
      </w:pPr>
    </w:p>
    <w:p>
      <w:pPr>
        <w:spacing w:after="0" w:line="228" w:lineRule="exact"/>
        <w:rPr>
          <w:sz w:val="20"/>
          <w:szCs w:val="20"/>
          <w:color w:val="auto"/>
        </w:rPr>
      </w:pPr>
    </w:p>
    <w:p>
      <w:pPr>
        <w:jc w:val="both"/>
        <w:ind w:left="1" w:hanging="1"/>
        <w:spacing w:after="0" w:line="253" w:lineRule="auto"/>
        <w:tabs>
          <w:tab w:leader="none" w:pos="334" w:val="left"/>
        </w:tabs>
        <w:numPr>
          <w:ilvl w:val="0"/>
          <w:numId w:val="84"/>
        </w:numPr>
        <w:rPr>
          <w:rFonts w:ascii="Arial" w:cs="Arial" w:eastAsia="Arial" w:hAnsi="Arial"/>
          <w:sz w:val="16"/>
          <w:szCs w:val="16"/>
          <w:color w:val="auto"/>
        </w:rPr>
      </w:pPr>
      <w:r>
        <w:rPr>
          <w:rFonts w:ascii="Arial" w:cs="Arial" w:eastAsia="Arial" w:hAnsi="Arial"/>
          <w:sz w:val="16"/>
          <w:szCs w:val="16"/>
          <w:i w:val="1"/>
          <w:iCs w:val="1"/>
          <w:color w:val="auto"/>
        </w:rPr>
        <w:t xml:space="preserve">Reasonable certainty. </w:t>
      </w:r>
      <w:r>
        <w:rPr>
          <w:rFonts w:ascii="Arial" w:cs="Arial" w:eastAsia="Arial" w:hAnsi="Arial"/>
          <w:sz w:val="16"/>
          <w:szCs w:val="16"/>
          <w:color w:val="auto"/>
        </w:rPr>
        <w:t>If deterministic methods are used, reasonable certainty means a high degree of confidence 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quantities will be recovered. If probabilistic methods are used, there should be at least a 90% probability that the quantities actually recovered will equal or exceed the estimate. A high degree of confidence exists if the quantity is much more likely to be achieved than not, and, as changes due to increased availability of geoscience (geological, geophysical, and geochemical), engineering, and economic data are made to estimated ultimate recovery (EUR) with time, reasonably certain EUR is much more likely to increase or remain constant than to decrease.</w:t>
      </w:r>
    </w:p>
    <w:p>
      <w:pPr>
        <w:spacing w:after="0" w:line="91" w:lineRule="exact"/>
        <w:rPr>
          <w:rFonts w:ascii="Arial" w:cs="Arial" w:eastAsia="Arial" w:hAnsi="Arial"/>
          <w:sz w:val="16"/>
          <w:szCs w:val="16"/>
          <w:color w:val="auto"/>
        </w:rPr>
      </w:pPr>
    </w:p>
    <w:p>
      <w:pPr>
        <w:jc w:val="both"/>
        <w:ind w:left="1" w:hanging="1"/>
        <w:spacing w:after="0" w:line="263" w:lineRule="auto"/>
        <w:tabs>
          <w:tab w:leader="none" w:pos="334" w:val="left"/>
        </w:tabs>
        <w:numPr>
          <w:ilvl w:val="0"/>
          <w:numId w:val="84"/>
        </w:numPr>
        <w:rPr>
          <w:rFonts w:ascii="Arial" w:cs="Arial" w:eastAsia="Arial" w:hAnsi="Arial"/>
          <w:sz w:val="16"/>
          <w:szCs w:val="16"/>
          <w:color w:val="auto"/>
        </w:rPr>
      </w:pPr>
      <w:r>
        <w:rPr>
          <w:rFonts w:ascii="Arial" w:cs="Arial" w:eastAsia="Arial" w:hAnsi="Arial"/>
          <w:sz w:val="16"/>
          <w:szCs w:val="16"/>
          <w:i w:val="1"/>
          <w:iCs w:val="1"/>
          <w:color w:val="auto"/>
        </w:rPr>
        <w:t xml:space="preserve">Reliable technology. </w:t>
      </w:r>
      <w:r>
        <w:rPr>
          <w:rFonts w:ascii="Arial" w:cs="Arial" w:eastAsia="Arial" w:hAnsi="Arial"/>
          <w:sz w:val="16"/>
          <w:szCs w:val="16"/>
          <w:color w:val="auto"/>
        </w:rPr>
        <w:t>Reliable technology is a grouping of one or more technologies (including computational methods) that</w:t>
      </w:r>
      <w:r>
        <w:rPr>
          <w:rFonts w:ascii="Arial" w:cs="Arial" w:eastAsia="Arial" w:hAnsi="Arial"/>
          <w:sz w:val="16"/>
          <w:szCs w:val="16"/>
          <w:i w:val="1"/>
          <w:iCs w:val="1"/>
          <w:color w:val="auto"/>
        </w:rPr>
        <w:t xml:space="preserve"> </w:t>
      </w:r>
      <w:r>
        <w:rPr>
          <w:rFonts w:ascii="Arial" w:cs="Arial" w:eastAsia="Arial" w:hAnsi="Arial"/>
          <w:sz w:val="16"/>
          <w:szCs w:val="16"/>
          <w:color w:val="auto"/>
        </w:rPr>
        <w:t>has been field tested and has been demonstrated to provide reasonably certain results with consistency and repeatability in the formation being evaluated or in an analogous formation.</w:t>
      </w:r>
    </w:p>
    <w:p>
      <w:pPr>
        <w:spacing w:after="0" w:line="83" w:lineRule="exact"/>
        <w:rPr>
          <w:rFonts w:ascii="Arial" w:cs="Arial" w:eastAsia="Arial" w:hAnsi="Arial"/>
          <w:sz w:val="16"/>
          <w:szCs w:val="16"/>
          <w:color w:val="auto"/>
        </w:rPr>
      </w:pPr>
    </w:p>
    <w:p>
      <w:pPr>
        <w:jc w:val="both"/>
        <w:ind w:left="1" w:hanging="1"/>
        <w:spacing w:after="0" w:line="255" w:lineRule="auto"/>
        <w:tabs>
          <w:tab w:leader="none" w:pos="388" w:val="left"/>
        </w:tabs>
        <w:numPr>
          <w:ilvl w:val="0"/>
          <w:numId w:val="84"/>
        </w:numPr>
        <w:rPr>
          <w:rFonts w:ascii="Arial" w:cs="Arial" w:eastAsia="Arial" w:hAnsi="Arial"/>
          <w:sz w:val="16"/>
          <w:szCs w:val="16"/>
          <w:color w:val="auto"/>
        </w:rPr>
      </w:pPr>
      <w:r>
        <w:rPr>
          <w:rFonts w:ascii="Arial" w:cs="Arial" w:eastAsia="Arial" w:hAnsi="Arial"/>
          <w:sz w:val="16"/>
          <w:szCs w:val="16"/>
          <w:i w:val="1"/>
          <w:iCs w:val="1"/>
          <w:color w:val="auto"/>
        </w:rPr>
        <w:t xml:space="preserve">Reserves. </w:t>
      </w:r>
      <w:r>
        <w:rPr>
          <w:rFonts w:ascii="Arial" w:cs="Arial" w:eastAsia="Arial" w:hAnsi="Arial"/>
          <w:sz w:val="16"/>
          <w:szCs w:val="16"/>
          <w:color w:val="auto"/>
        </w:rPr>
        <w:t>Reserves are estimated remaining quantities of oil and gas and related substances anticipated to be</w:t>
      </w:r>
      <w:r>
        <w:rPr>
          <w:rFonts w:ascii="Arial" w:cs="Arial" w:eastAsia="Arial" w:hAnsi="Arial"/>
          <w:sz w:val="16"/>
          <w:szCs w:val="16"/>
          <w:i w:val="1"/>
          <w:iCs w:val="1"/>
          <w:color w:val="auto"/>
        </w:rPr>
        <w:t xml:space="preserve"> </w:t>
      </w:r>
      <w:r>
        <w:rPr>
          <w:rFonts w:ascii="Arial" w:cs="Arial" w:eastAsia="Arial" w:hAnsi="Arial"/>
          <w:sz w:val="16"/>
          <w:szCs w:val="16"/>
          <w:color w:val="auto"/>
        </w:rPr>
        <w:t>economically 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w:t>
      </w:r>
    </w:p>
    <w:p>
      <w:pPr>
        <w:spacing w:after="0" w:line="89" w:lineRule="exact"/>
        <w:rPr>
          <w:sz w:val="20"/>
          <w:szCs w:val="20"/>
          <w:color w:val="auto"/>
        </w:rPr>
      </w:pPr>
    </w:p>
    <w:p>
      <w:pPr>
        <w:jc w:val="both"/>
        <w:ind w:left="1"/>
        <w:spacing w:after="0" w:line="255" w:lineRule="auto"/>
        <w:rPr>
          <w:sz w:val="20"/>
          <w:szCs w:val="20"/>
          <w:color w:val="auto"/>
        </w:rPr>
      </w:pPr>
      <w:r>
        <w:rPr>
          <w:rFonts w:ascii="Arial" w:cs="Arial" w:eastAsia="Arial" w:hAnsi="Arial"/>
          <w:sz w:val="16"/>
          <w:szCs w:val="16"/>
          <w:i w:val="1"/>
          <w:iCs w:val="1"/>
          <w:color w:val="auto"/>
        </w:rPr>
        <w:t>Note to paragraph (a)(26)</w:t>
      </w:r>
      <w:r>
        <w:rPr>
          <w:rFonts w:ascii="Arial" w:cs="Arial" w:eastAsia="Arial" w:hAnsi="Arial"/>
          <w:sz w:val="16"/>
          <w:szCs w:val="16"/>
          <w:color w:val="auto"/>
        </w:rPr>
        <w:t>: Reserves should not be assigned to adjacent reservoirs isolated by major, potentially sealing, faults</w:t>
      </w:r>
      <w:r>
        <w:rPr>
          <w:rFonts w:ascii="Arial" w:cs="Arial" w:eastAsia="Arial" w:hAnsi="Arial"/>
          <w:sz w:val="16"/>
          <w:szCs w:val="16"/>
          <w:i w:val="1"/>
          <w:iCs w:val="1"/>
          <w:color w:val="auto"/>
        </w:rPr>
        <w:t xml:space="preserve"> </w:t>
      </w:r>
      <w:r>
        <w:rPr>
          <w:rFonts w:ascii="Arial" w:cs="Arial" w:eastAsia="Arial" w:hAnsi="Arial"/>
          <w:sz w:val="16"/>
          <w:szCs w:val="16"/>
          <w:color w:val="auto"/>
        </w:rPr>
        <w:t>until those reservoirs are penetrated and evaluated as economically producible. Reserves should not be assigned to areas that are clearly separated from a known accumulation by a non-productive reservoir (i.e., absence of reservoir, structurally low reservoir, or negative test results). Such areas may contain prospective resources (i.e., potentially recoverable resources from undiscovered accumulations).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133985</wp:posOffset>
            </wp:positionV>
            <wp:extent cx="5554980" cy="3308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5">
                      <a:extLst>
                        <a:ext uri="{28A0092B-C50C-407E-A947-70E740481C1C}"/>
                      </a:extLst>
                    </a:blip>
                    <a:srcRect/>
                    <a:stretch>
                      <a:fillRect/>
                    </a:stretch>
                  </pic:blipFill>
                  <pic:spPr bwMode="auto">
                    <a:xfrm>
                      <a:off x="0" y="0"/>
                      <a:ext cx="5554980" cy="3308985"/>
                    </a:xfrm>
                    <a:prstGeom prst="rect">
                      <a:avLst/>
                    </a:prstGeom>
                    <a:noFill/>
                  </pic:spPr>
                </pic:pic>
              </a:graphicData>
            </a:graphic>
          </wp:anchor>
        </w:drawing>
      </w:r>
    </w:p>
    <w:p>
      <w:pPr>
        <w:spacing w:after="0" w:line="226" w:lineRule="exact"/>
        <w:rPr>
          <w:sz w:val="20"/>
          <w:szCs w:val="20"/>
          <w:color w:val="auto"/>
        </w:rPr>
      </w:pPr>
    </w:p>
    <w:p>
      <w:pPr>
        <w:ind w:left="341"/>
        <w:spacing w:after="0"/>
        <w:rPr>
          <w:sz w:val="20"/>
          <w:szCs w:val="20"/>
          <w:color w:val="auto"/>
        </w:rPr>
      </w:pPr>
      <w:r>
        <w:rPr>
          <w:rFonts w:ascii="Arial" w:cs="Arial" w:eastAsia="Arial" w:hAnsi="Arial"/>
          <w:sz w:val="15"/>
          <w:szCs w:val="15"/>
          <w:i w:val="1"/>
          <w:iCs w:val="1"/>
          <w:color w:val="auto"/>
        </w:rPr>
        <w:t>Excerpted from the FASB Accounting Standards Codification Topic 932, Extractive Activities—Oil and Gas:</w:t>
      </w:r>
    </w:p>
    <w:p>
      <w:pPr>
        <w:spacing w:after="0" w:line="98" w:lineRule="exact"/>
        <w:rPr>
          <w:sz w:val="20"/>
          <w:szCs w:val="20"/>
          <w:color w:val="auto"/>
        </w:rPr>
      </w:pPr>
    </w:p>
    <w:p>
      <w:pPr>
        <w:ind w:left="341" w:right="320"/>
        <w:spacing w:after="0" w:line="264" w:lineRule="auto"/>
        <w:rPr>
          <w:sz w:val="20"/>
          <w:szCs w:val="20"/>
          <w:color w:val="auto"/>
        </w:rPr>
      </w:pPr>
      <w:r>
        <w:rPr>
          <w:rFonts w:ascii="Arial" w:cs="Arial" w:eastAsia="Arial" w:hAnsi="Arial"/>
          <w:sz w:val="15"/>
          <w:szCs w:val="15"/>
          <w:i w:val="1"/>
          <w:iCs w:val="1"/>
          <w:color w:val="auto"/>
        </w:rPr>
        <w:t>932-235-50-30 A standardized measure of discounted future net cash flows relating to an entity's interests in both of the following shall be disclosed as of the end of the year:</w:t>
      </w:r>
    </w:p>
    <w:p>
      <w:pPr>
        <w:spacing w:after="0" w:line="66" w:lineRule="exact"/>
        <w:rPr>
          <w:sz w:val="20"/>
          <w:szCs w:val="20"/>
          <w:color w:val="auto"/>
        </w:rPr>
      </w:pPr>
    </w:p>
    <w:p>
      <w:pPr>
        <w:ind w:left="741" w:hanging="242"/>
        <w:spacing w:after="0"/>
        <w:tabs>
          <w:tab w:leader="none" w:pos="741" w:val="left"/>
        </w:tabs>
        <w:numPr>
          <w:ilvl w:val="0"/>
          <w:numId w:val="85"/>
        </w:numPr>
        <w:rPr>
          <w:rFonts w:ascii="Arial" w:cs="Arial" w:eastAsia="Arial" w:hAnsi="Arial"/>
          <w:sz w:val="15"/>
          <w:szCs w:val="15"/>
          <w:i w:val="1"/>
          <w:iCs w:val="1"/>
          <w:color w:val="auto"/>
        </w:rPr>
      </w:pPr>
      <w:r>
        <w:rPr>
          <w:rFonts w:ascii="Arial" w:cs="Arial" w:eastAsia="Arial" w:hAnsi="Arial"/>
          <w:sz w:val="15"/>
          <w:szCs w:val="15"/>
          <w:i w:val="1"/>
          <w:iCs w:val="1"/>
          <w:color w:val="auto"/>
        </w:rPr>
        <w:t>Proved oil and gas reserves (see paragraphs 932-235-50-3 through 50-11B)</w:t>
      </w:r>
    </w:p>
    <w:p>
      <w:pPr>
        <w:spacing w:after="0" w:line="5" w:lineRule="exact"/>
        <w:rPr>
          <w:rFonts w:ascii="Arial" w:cs="Arial" w:eastAsia="Arial" w:hAnsi="Arial"/>
          <w:sz w:val="15"/>
          <w:szCs w:val="15"/>
          <w:i w:val="1"/>
          <w:iCs w:val="1"/>
          <w:color w:val="auto"/>
        </w:rPr>
      </w:pPr>
    </w:p>
    <w:p>
      <w:pPr>
        <w:jc w:val="both"/>
        <w:ind w:left="741" w:right="340" w:hanging="242"/>
        <w:spacing w:after="0" w:line="235" w:lineRule="auto"/>
        <w:tabs>
          <w:tab w:leader="none" w:pos="741" w:val="left"/>
        </w:tabs>
        <w:numPr>
          <w:ilvl w:val="0"/>
          <w:numId w:val="85"/>
        </w:numPr>
        <w:rPr>
          <w:rFonts w:ascii="Arial" w:cs="Arial" w:eastAsia="Arial" w:hAnsi="Arial"/>
          <w:sz w:val="15"/>
          <w:szCs w:val="15"/>
          <w:i w:val="1"/>
          <w:iCs w:val="1"/>
          <w:color w:val="auto"/>
        </w:rPr>
      </w:pPr>
      <w:r>
        <w:rPr>
          <w:rFonts w:ascii="Arial" w:cs="Arial" w:eastAsia="Arial" w:hAnsi="Arial"/>
          <w:sz w:val="15"/>
          <w:szCs w:val="15"/>
          <w:i w:val="1"/>
          <w:iCs w:val="1"/>
          <w:color w:val="auto"/>
        </w:rPr>
        <w:t>Oil and gas subject to purchase under long-term supply, purchase, or similar agreements and contracts in which the entity participates in the operation of the properties on which the oil or gas is located or otherwise serves as the producer of those reserves (see paragraph 932-235-50-7).</w:t>
      </w:r>
    </w:p>
    <w:p>
      <w:pPr>
        <w:spacing w:after="0" w:line="71" w:lineRule="exact"/>
        <w:rPr>
          <w:sz w:val="20"/>
          <w:szCs w:val="20"/>
          <w:color w:val="auto"/>
        </w:rPr>
      </w:pPr>
    </w:p>
    <w:p>
      <w:pPr>
        <w:ind w:left="341" w:right="340"/>
        <w:spacing w:after="0" w:line="264" w:lineRule="auto"/>
        <w:rPr>
          <w:sz w:val="20"/>
          <w:szCs w:val="20"/>
          <w:color w:val="auto"/>
        </w:rPr>
      </w:pPr>
      <w:r>
        <w:rPr>
          <w:rFonts w:ascii="Arial" w:cs="Arial" w:eastAsia="Arial" w:hAnsi="Arial"/>
          <w:sz w:val="15"/>
          <w:szCs w:val="15"/>
          <w:i w:val="1"/>
          <w:iCs w:val="1"/>
          <w:color w:val="auto"/>
        </w:rPr>
        <w:t>The standardized measure of discounted future net cash flows relating to those two types of interests in reserves may be combined for reporting purposes.</w:t>
      </w:r>
    </w:p>
    <w:p>
      <w:pPr>
        <w:spacing w:after="0" w:line="53" w:lineRule="exact"/>
        <w:rPr>
          <w:sz w:val="20"/>
          <w:szCs w:val="20"/>
          <w:color w:val="auto"/>
        </w:rPr>
      </w:pPr>
    </w:p>
    <w:p>
      <w:pPr>
        <w:ind w:left="341" w:right="340"/>
        <w:spacing w:after="0" w:line="264" w:lineRule="auto"/>
        <w:rPr>
          <w:sz w:val="20"/>
          <w:szCs w:val="20"/>
          <w:color w:val="auto"/>
        </w:rPr>
      </w:pPr>
      <w:r>
        <w:rPr>
          <w:rFonts w:ascii="Arial" w:cs="Arial" w:eastAsia="Arial" w:hAnsi="Arial"/>
          <w:sz w:val="15"/>
          <w:szCs w:val="15"/>
          <w:i w:val="1"/>
          <w:iCs w:val="1"/>
          <w:color w:val="auto"/>
        </w:rPr>
        <w:t>932-235-50-31 All of the following information shall be disclosed in the aggregate and for each geographic area for which reserve quantities are disclosed in accordance with paragraphs 932-235-50-3 through 50-11B:</w:t>
      </w:r>
    </w:p>
    <w:p>
      <w:pPr>
        <w:spacing w:after="0" w:line="66" w:lineRule="exact"/>
        <w:rPr>
          <w:sz w:val="20"/>
          <w:szCs w:val="20"/>
          <w:color w:val="auto"/>
        </w:rPr>
      </w:pPr>
    </w:p>
    <w:p>
      <w:pPr>
        <w:jc w:val="both"/>
        <w:ind w:left="741" w:right="340" w:hanging="242"/>
        <w:spacing w:after="0" w:line="232" w:lineRule="auto"/>
        <w:tabs>
          <w:tab w:leader="none" w:pos="741" w:val="left"/>
        </w:tabs>
        <w:numPr>
          <w:ilvl w:val="1"/>
          <w:numId w:val="86"/>
        </w:numPr>
        <w:rPr>
          <w:rFonts w:ascii="Arial" w:cs="Arial" w:eastAsia="Arial" w:hAnsi="Arial"/>
          <w:sz w:val="15"/>
          <w:szCs w:val="15"/>
          <w:i w:val="1"/>
          <w:iCs w:val="1"/>
          <w:color w:val="auto"/>
        </w:rPr>
      </w:pPr>
      <w:r>
        <w:rPr>
          <w:rFonts w:ascii="Arial" w:cs="Arial" w:eastAsia="Arial" w:hAnsi="Arial"/>
          <w:sz w:val="15"/>
          <w:szCs w:val="15"/>
          <w:i w:val="1"/>
          <w:iCs w:val="1"/>
          <w:color w:val="auto"/>
        </w:rPr>
        <w:t>Future cash inflows. These shall be computed by applying prices used in estimating the entity's proved oil and gas reserves to the year-end quantities of those reserves. Future price changes shall be considered only to the extent provided by contractual arrangements in existence at year-end.</w:t>
      </w:r>
    </w:p>
    <w:p>
      <w:pPr>
        <w:spacing w:after="0" w:line="1" w:lineRule="exact"/>
        <w:rPr>
          <w:rFonts w:ascii="Arial" w:cs="Arial" w:eastAsia="Arial" w:hAnsi="Arial"/>
          <w:sz w:val="15"/>
          <w:szCs w:val="15"/>
          <w:i w:val="1"/>
          <w:iCs w:val="1"/>
          <w:color w:val="auto"/>
        </w:rPr>
      </w:pPr>
    </w:p>
    <w:p>
      <w:pPr>
        <w:jc w:val="both"/>
        <w:ind w:left="741" w:right="320" w:hanging="242"/>
        <w:spacing w:after="0" w:line="225" w:lineRule="auto"/>
        <w:tabs>
          <w:tab w:leader="none" w:pos="741" w:val="left"/>
        </w:tabs>
        <w:numPr>
          <w:ilvl w:val="1"/>
          <w:numId w:val="86"/>
        </w:numPr>
        <w:rPr>
          <w:rFonts w:ascii="Arial" w:cs="Arial" w:eastAsia="Arial" w:hAnsi="Arial"/>
          <w:sz w:val="15"/>
          <w:szCs w:val="15"/>
          <w:i w:val="1"/>
          <w:iCs w:val="1"/>
          <w:color w:val="auto"/>
        </w:rPr>
      </w:pPr>
      <w:r>
        <w:rPr>
          <w:rFonts w:ascii="Arial" w:cs="Arial" w:eastAsia="Arial" w:hAnsi="Arial"/>
          <w:sz w:val="15"/>
          <w:szCs w:val="15"/>
          <w:i w:val="1"/>
          <w:iCs w:val="1"/>
          <w:color w:val="auto"/>
        </w:rPr>
        <w:t>Future development and production costs. These costs shall be computed by estimating the expenditures to be incurred in developing and producing the proved oil and gas reserves at the end of the year, based on year-end costs and assuming continuation of existing economic conditions. If estimated development expenditures are significant, they shall be presented separately from estimated production costs.</w:t>
      </w:r>
    </w:p>
    <w:p>
      <w:pPr>
        <w:spacing w:after="0" w:line="1" w:lineRule="exact"/>
        <w:rPr>
          <w:rFonts w:ascii="Arial" w:cs="Arial" w:eastAsia="Arial" w:hAnsi="Arial"/>
          <w:sz w:val="15"/>
          <w:szCs w:val="15"/>
          <w:i w:val="1"/>
          <w:iCs w:val="1"/>
          <w:color w:val="auto"/>
        </w:rPr>
      </w:pPr>
    </w:p>
    <w:p>
      <w:pPr>
        <w:jc w:val="both"/>
        <w:ind w:left="741" w:right="320" w:hanging="242"/>
        <w:spacing w:after="0" w:line="225" w:lineRule="auto"/>
        <w:tabs>
          <w:tab w:leader="none" w:pos="741" w:val="left"/>
        </w:tabs>
        <w:numPr>
          <w:ilvl w:val="1"/>
          <w:numId w:val="86"/>
        </w:numPr>
        <w:rPr>
          <w:rFonts w:ascii="Arial" w:cs="Arial" w:eastAsia="Arial" w:hAnsi="Arial"/>
          <w:sz w:val="15"/>
          <w:szCs w:val="15"/>
          <w:i w:val="1"/>
          <w:iCs w:val="1"/>
          <w:color w:val="auto"/>
        </w:rPr>
      </w:pPr>
      <w:r>
        <w:rPr>
          <w:rFonts w:ascii="Arial" w:cs="Arial" w:eastAsia="Arial" w:hAnsi="Arial"/>
          <w:sz w:val="15"/>
          <w:szCs w:val="15"/>
          <w:i w:val="1"/>
          <w:iCs w:val="1"/>
          <w:color w:val="auto"/>
        </w:rPr>
        <w:t>Future income tax expenses. These expenses shall be computed by applying the appropriate year-end statutory tax rates, with consideration of future tax rates already legislated, to the future pretax net cash flows relating to the entity's proved oil and gas reserves, less the tax basis of the properties involved. The future income tax expenses shall give effect to tax deductions and tax credits and allowances relating to the entity's proved oil and gas reserves.</w:t>
      </w:r>
    </w:p>
    <w:p>
      <w:pPr>
        <w:spacing w:after="0" w:line="1" w:lineRule="exact"/>
        <w:rPr>
          <w:rFonts w:ascii="Arial" w:cs="Arial" w:eastAsia="Arial" w:hAnsi="Arial"/>
          <w:sz w:val="15"/>
          <w:szCs w:val="15"/>
          <w:i w:val="1"/>
          <w:iCs w:val="1"/>
          <w:color w:val="auto"/>
        </w:rPr>
      </w:pPr>
    </w:p>
    <w:p>
      <w:pPr>
        <w:ind w:left="741" w:right="340" w:hanging="242"/>
        <w:spacing w:after="0" w:line="225" w:lineRule="auto"/>
        <w:tabs>
          <w:tab w:leader="none" w:pos="741" w:val="left"/>
        </w:tabs>
        <w:numPr>
          <w:ilvl w:val="1"/>
          <w:numId w:val="86"/>
        </w:numPr>
        <w:rPr>
          <w:rFonts w:ascii="Arial" w:cs="Arial" w:eastAsia="Arial" w:hAnsi="Arial"/>
          <w:sz w:val="15"/>
          <w:szCs w:val="15"/>
          <w:i w:val="1"/>
          <w:iCs w:val="1"/>
          <w:color w:val="auto"/>
        </w:rPr>
      </w:pPr>
      <w:r>
        <w:rPr>
          <w:rFonts w:ascii="Arial" w:cs="Arial" w:eastAsia="Arial" w:hAnsi="Arial"/>
          <w:sz w:val="15"/>
          <w:szCs w:val="15"/>
          <w:i w:val="1"/>
          <w:iCs w:val="1"/>
          <w:color w:val="auto"/>
        </w:rPr>
        <w:t>Future net cash flows. These amounts are the result of subtracting future development and production costs and future income tax expenses from future cash inflows.</w:t>
      </w:r>
    </w:p>
    <w:p>
      <w:pPr>
        <w:ind w:left="741" w:right="340" w:hanging="242"/>
        <w:spacing w:after="0" w:line="225" w:lineRule="auto"/>
        <w:tabs>
          <w:tab w:leader="none" w:pos="741" w:val="left"/>
        </w:tabs>
        <w:numPr>
          <w:ilvl w:val="1"/>
          <w:numId w:val="86"/>
        </w:numPr>
        <w:rPr>
          <w:rFonts w:ascii="Arial" w:cs="Arial" w:eastAsia="Arial" w:hAnsi="Arial"/>
          <w:sz w:val="15"/>
          <w:szCs w:val="15"/>
          <w:i w:val="1"/>
          <w:iCs w:val="1"/>
          <w:color w:val="auto"/>
        </w:rPr>
      </w:pPr>
      <w:r>
        <w:rPr>
          <w:rFonts w:ascii="Arial" w:cs="Arial" w:eastAsia="Arial" w:hAnsi="Arial"/>
          <w:sz w:val="15"/>
          <w:szCs w:val="15"/>
          <w:i w:val="1"/>
          <w:iCs w:val="1"/>
          <w:color w:val="auto"/>
        </w:rPr>
        <w:t>Discount. This amount shall be derived from using a discount rate of 10 percent a year to reflect the timing of the future net cash flows relating to proved oil and gas reserves.</w:t>
      </w:r>
    </w:p>
    <w:p>
      <w:pPr>
        <w:ind w:left="741" w:right="340" w:hanging="242"/>
        <w:spacing w:after="0" w:line="242" w:lineRule="auto"/>
        <w:tabs>
          <w:tab w:leader="none" w:pos="741" w:val="left"/>
        </w:tabs>
        <w:numPr>
          <w:ilvl w:val="1"/>
          <w:numId w:val="86"/>
        </w:numPr>
        <w:rPr>
          <w:rFonts w:ascii="Arial" w:cs="Arial" w:eastAsia="Arial" w:hAnsi="Arial"/>
          <w:sz w:val="15"/>
          <w:szCs w:val="15"/>
          <w:i w:val="1"/>
          <w:iCs w:val="1"/>
          <w:color w:val="auto"/>
        </w:rPr>
      </w:pPr>
      <w:r>
        <w:rPr>
          <w:rFonts w:ascii="Arial" w:cs="Arial" w:eastAsia="Arial" w:hAnsi="Arial"/>
          <w:sz w:val="15"/>
          <w:szCs w:val="15"/>
          <w:i w:val="1"/>
          <w:iCs w:val="1"/>
          <w:color w:val="auto"/>
        </w:rPr>
        <w:t>Standardized measure of discounted future net cash flows. This amount is the future net cash flows less the computed discount.</w:t>
      </w:r>
    </w:p>
    <w:p>
      <w:pPr>
        <w:spacing w:after="0" w:line="140" w:lineRule="exact"/>
        <w:rPr>
          <w:rFonts w:ascii="Arial" w:cs="Arial" w:eastAsia="Arial" w:hAnsi="Arial"/>
          <w:sz w:val="15"/>
          <w:szCs w:val="15"/>
          <w:i w:val="1"/>
          <w:iCs w:val="1"/>
          <w:color w:val="auto"/>
        </w:rPr>
      </w:pPr>
    </w:p>
    <w:p>
      <w:pPr>
        <w:ind w:left="1" w:hanging="1"/>
        <w:spacing w:after="0" w:line="281" w:lineRule="auto"/>
        <w:tabs>
          <w:tab w:leader="none" w:pos="334" w:val="left"/>
        </w:tabs>
        <w:numPr>
          <w:ilvl w:val="0"/>
          <w:numId w:val="87"/>
        </w:numPr>
        <w:rPr>
          <w:rFonts w:ascii="Arial" w:cs="Arial" w:eastAsia="Arial" w:hAnsi="Arial"/>
          <w:sz w:val="16"/>
          <w:szCs w:val="16"/>
          <w:color w:val="auto"/>
        </w:rPr>
      </w:pPr>
      <w:r>
        <w:rPr>
          <w:rFonts w:ascii="Arial" w:cs="Arial" w:eastAsia="Arial" w:hAnsi="Arial"/>
          <w:sz w:val="16"/>
          <w:szCs w:val="16"/>
          <w:i w:val="1"/>
          <w:iCs w:val="1"/>
          <w:color w:val="auto"/>
        </w:rPr>
        <w:t xml:space="preserve">Reservoir. </w:t>
      </w:r>
      <w:r>
        <w:rPr>
          <w:rFonts w:ascii="Arial" w:cs="Arial" w:eastAsia="Arial" w:hAnsi="Arial"/>
          <w:sz w:val="16"/>
          <w:szCs w:val="16"/>
          <w:color w:val="auto"/>
        </w:rPr>
        <w:t>A porous and permeable underground formation containing a natural accumulation of producible oil and/or gas</w:t>
      </w:r>
      <w:r>
        <w:rPr>
          <w:rFonts w:ascii="Arial" w:cs="Arial" w:eastAsia="Arial" w:hAnsi="Arial"/>
          <w:sz w:val="16"/>
          <w:szCs w:val="16"/>
          <w:i w:val="1"/>
          <w:iCs w:val="1"/>
          <w:color w:val="auto"/>
        </w:rPr>
        <w:t xml:space="preserve"> </w:t>
      </w:r>
      <w:r>
        <w:rPr>
          <w:rFonts w:ascii="Arial" w:cs="Arial" w:eastAsia="Arial" w:hAnsi="Arial"/>
          <w:sz w:val="16"/>
          <w:szCs w:val="16"/>
          <w:color w:val="auto"/>
        </w:rPr>
        <w:t>that is confined by impermeable rock or water barriers and is individual and separate from other reservoirs.</w:t>
      </w:r>
    </w:p>
    <w:p>
      <w:pPr>
        <w:spacing w:after="0" w:line="68" w:lineRule="exact"/>
        <w:rPr>
          <w:rFonts w:ascii="Arial" w:cs="Arial" w:eastAsia="Arial" w:hAnsi="Arial"/>
          <w:sz w:val="16"/>
          <w:szCs w:val="16"/>
          <w:color w:val="auto"/>
        </w:rPr>
      </w:pPr>
    </w:p>
    <w:p>
      <w:pPr>
        <w:jc w:val="both"/>
        <w:ind w:left="1" w:hanging="1"/>
        <w:spacing w:after="0" w:line="263" w:lineRule="auto"/>
        <w:tabs>
          <w:tab w:leader="none" w:pos="334" w:val="left"/>
        </w:tabs>
        <w:numPr>
          <w:ilvl w:val="0"/>
          <w:numId w:val="87"/>
        </w:numPr>
        <w:rPr>
          <w:rFonts w:ascii="Arial" w:cs="Arial" w:eastAsia="Arial" w:hAnsi="Arial"/>
          <w:sz w:val="16"/>
          <w:szCs w:val="16"/>
          <w:color w:val="auto"/>
        </w:rPr>
      </w:pPr>
      <w:r>
        <w:rPr>
          <w:rFonts w:ascii="Arial" w:cs="Arial" w:eastAsia="Arial" w:hAnsi="Arial"/>
          <w:sz w:val="16"/>
          <w:szCs w:val="16"/>
          <w:i w:val="1"/>
          <w:iCs w:val="1"/>
          <w:color w:val="auto"/>
        </w:rPr>
        <w:t xml:space="preserve">Resources. </w:t>
      </w:r>
      <w:r>
        <w:rPr>
          <w:rFonts w:ascii="Arial" w:cs="Arial" w:eastAsia="Arial" w:hAnsi="Arial"/>
          <w:sz w:val="16"/>
          <w:szCs w:val="16"/>
          <w:color w:val="auto"/>
        </w:rPr>
        <w:t>Resources are quantities of oil and gas estimated to exist in naturally occurring accumulations. A portion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resources may be estimated to be recoverable, and another portion may be considered to be unrecoverable. Resources include both discovered and undiscovered accumulations.</w:t>
      </w:r>
    </w:p>
    <w:p>
      <w:pPr>
        <w:spacing w:after="0" w:line="83" w:lineRule="exact"/>
        <w:rPr>
          <w:rFonts w:ascii="Arial" w:cs="Arial" w:eastAsia="Arial" w:hAnsi="Arial"/>
          <w:sz w:val="16"/>
          <w:szCs w:val="16"/>
          <w:color w:val="auto"/>
        </w:rPr>
      </w:pPr>
    </w:p>
    <w:p>
      <w:pPr>
        <w:jc w:val="both"/>
        <w:ind w:left="1" w:hanging="1"/>
        <w:spacing w:after="0" w:line="263" w:lineRule="auto"/>
        <w:tabs>
          <w:tab w:leader="none" w:pos="334" w:val="left"/>
        </w:tabs>
        <w:numPr>
          <w:ilvl w:val="0"/>
          <w:numId w:val="87"/>
        </w:numPr>
        <w:rPr>
          <w:rFonts w:ascii="Arial" w:cs="Arial" w:eastAsia="Arial" w:hAnsi="Arial"/>
          <w:sz w:val="16"/>
          <w:szCs w:val="16"/>
          <w:color w:val="auto"/>
        </w:rPr>
      </w:pPr>
      <w:r>
        <w:rPr>
          <w:rFonts w:ascii="Arial" w:cs="Arial" w:eastAsia="Arial" w:hAnsi="Arial"/>
          <w:sz w:val="16"/>
          <w:szCs w:val="16"/>
          <w:i w:val="1"/>
          <w:iCs w:val="1"/>
          <w:color w:val="auto"/>
        </w:rPr>
        <w:t xml:space="preserve">Service well. </w:t>
      </w:r>
      <w:r>
        <w:rPr>
          <w:rFonts w:ascii="Arial" w:cs="Arial" w:eastAsia="Arial" w:hAnsi="Arial"/>
          <w:sz w:val="16"/>
          <w:szCs w:val="16"/>
          <w:color w:val="auto"/>
        </w:rPr>
        <w:t>A well drilled or completed for the purpose of supporting production in an existing field. Specific purposes of</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wells include gas injection, water injection, steam injection, air injection, salt-water disposal, water supply for injection, observation, or injection for in-situ combustion.</w:t>
      </w:r>
    </w:p>
    <w:p>
      <w:pPr>
        <w:spacing w:after="0" w:line="223" w:lineRule="exact"/>
        <w:rPr>
          <w:sz w:val="20"/>
          <w:szCs w:val="20"/>
          <w:color w:val="auto"/>
        </w:rPr>
      </w:pPr>
    </w:p>
    <w:p>
      <w:pPr>
        <w:ind w:left="7521"/>
        <w:spacing w:after="0"/>
        <w:rPr>
          <w:sz w:val="20"/>
          <w:szCs w:val="20"/>
          <w:color w:val="auto"/>
        </w:rPr>
      </w:pPr>
      <w:r>
        <w:rPr>
          <w:rFonts w:ascii="Arial" w:cs="Arial" w:eastAsia="Arial" w:hAnsi="Arial"/>
          <w:sz w:val="16"/>
          <w:szCs w:val="16"/>
          <w:color w:val="auto"/>
        </w:rPr>
        <w:t>Definitions - Page 5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352425</wp:posOffset>
            </wp:positionV>
            <wp:extent cx="588073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6">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1"/>
          </w:cols>
          <w:pgMar w:left="1319" w:top="1016" w:right="13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833755</wp:posOffset>
            </wp:positionH>
            <wp:positionV relativeFrom="page">
              <wp:posOffset>337185</wp:posOffset>
            </wp:positionV>
            <wp:extent cx="1868805" cy="2571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7">
                      <a:clrChange>
                        <a:clrFrom>
                          <a:srgbClr val="FFFFFF"/>
                        </a:clrFrom>
                        <a:clrTo>
                          <a:srgbClr val="FFFFFF">
                            <a:alpha val="0"/>
                          </a:srgbClr>
                        </a:clrTo>
                      </a:clrChange>
                      <a:extLst>
                        <a:ext uri="{28A0092B-C50C-407E-A947-70E740481C1C}"/>
                      </a:extLst>
                    </a:blip>
                    <a:srcRect/>
                    <a:stretch>
                      <a:fillRect/>
                    </a:stretch>
                  </pic:blipFill>
                  <pic:spPr bwMode="auto">
                    <a:xfrm>
                      <a:off x="0" y="0"/>
                      <a:ext cx="1868805" cy="257175"/>
                    </a:xfrm>
                    <a:prstGeom prst="rect">
                      <a:avLst/>
                    </a:prstGeom>
                    <a:noFill/>
                  </pic:spPr>
                </pic:pic>
              </a:graphicData>
            </a:graphic>
          </wp:anchor>
        </w:drawing>
        <w:t>DEFINITIONS OF OIL AND GAS RESERVES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Adapted from U.S. Securities and Exchange Commission Regulation S-X Section 210.4-10(a)</w:t>
      </w:r>
    </w:p>
    <w:p>
      <w:pPr>
        <w:spacing w:after="0" w:line="200" w:lineRule="exact"/>
        <w:rPr>
          <w:sz w:val="20"/>
          <w:szCs w:val="20"/>
          <w:color w:val="auto"/>
        </w:rPr>
      </w:pPr>
    </w:p>
    <w:p>
      <w:pPr>
        <w:spacing w:after="0" w:line="228" w:lineRule="exact"/>
        <w:rPr>
          <w:sz w:val="20"/>
          <w:szCs w:val="20"/>
          <w:color w:val="auto"/>
        </w:rPr>
      </w:pPr>
    </w:p>
    <w:p>
      <w:pPr>
        <w:jc w:val="both"/>
        <w:ind w:left="1" w:hanging="1"/>
        <w:spacing w:after="0" w:line="256" w:lineRule="auto"/>
        <w:tabs>
          <w:tab w:leader="none" w:pos="334" w:val="left"/>
        </w:tabs>
        <w:numPr>
          <w:ilvl w:val="0"/>
          <w:numId w:val="88"/>
        </w:numPr>
        <w:rPr>
          <w:rFonts w:ascii="Arial" w:cs="Arial" w:eastAsia="Arial" w:hAnsi="Arial"/>
          <w:sz w:val="16"/>
          <w:szCs w:val="16"/>
          <w:color w:val="auto"/>
        </w:rPr>
      </w:pPr>
      <w:r>
        <w:rPr>
          <w:rFonts w:ascii="Arial" w:cs="Arial" w:eastAsia="Arial" w:hAnsi="Arial"/>
          <w:sz w:val="16"/>
          <w:szCs w:val="16"/>
          <w:i w:val="1"/>
          <w:iCs w:val="1"/>
          <w:color w:val="auto"/>
        </w:rPr>
        <w:t xml:space="preserve">Stratigraphic test well. </w:t>
      </w:r>
      <w:r>
        <w:rPr>
          <w:rFonts w:ascii="Arial" w:cs="Arial" w:eastAsia="Arial" w:hAnsi="Arial"/>
          <w:sz w:val="16"/>
          <w:szCs w:val="16"/>
          <w:color w:val="auto"/>
        </w:rPr>
        <w:t>A stratigraphic test well is a drilling effort, geologically directed, to obtain information pertaining to a</w:t>
      </w:r>
      <w:r>
        <w:rPr>
          <w:rFonts w:ascii="Arial" w:cs="Arial" w:eastAsia="Arial" w:hAnsi="Arial"/>
          <w:sz w:val="16"/>
          <w:szCs w:val="16"/>
          <w:i w:val="1"/>
          <w:iCs w:val="1"/>
          <w:color w:val="auto"/>
        </w:rPr>
        <w:t xml:space="preserve"> </w:t>
      </w:r>
      <w:r>
        <w:rPr>
          <w:rFonts w:ascii="Arial" w:cs="Arial" w:eastAsia="Arial" w:hAnsi="Arial"/>
          <w:sz w:val="16"/>
          <w:szCs w:val="16"/>
          <w:color w:val="auto"/>
        </w:rPr>
        <w:t>specific geologic condition. Such wells customarily are drilled without the intent of being completed for hydrocarbon production.</w:t>
      </w:r>
    </w:p>
    <w:p>
      <w:pPr>
        <w:spacing w:after="0" w:line="1" w:lineRule="exact"/>
        <w:rPr>
          <w:rFonts w:ascii="Arial" w:cs="Arial" w:eastAsia="Arial" w:hAnsi="Arial"/>
          <w:sz w:val="16"/>
          <w:szCs w:val="16"/>
          <w:color w:val="auto"/>
        </w:rPr>
      </w:pPr>
    </w:p>
    <w:p>
      <w:pPr>
        <w:jc w:val="both"/>
        <w:ind w:left="1" w:firstLine="90"/>
        <w:spacing w:after="0" w:line="253" w:lineRule="auto"/>
        <w:rPr>
          <w:rFonts w:ascii="Arial" w:cs="Arial" w:eastAsia="Arial" w:hAnsi="Arial"/>
          <w:sz w:val="16"/>
          <w:szCs w:val="16"/>
          <w:color w:val="auto"/>
        </w:rPr>
      </w:pPr>
      <w:r>
        <w:rPr>
          <w:rFonts w:ascii="Arial" w:cs="Arial" w:eastAsia="Arial" w:hAnsi="Arial"/>
          <w:sz w:val="16"/>
          <w:szCs w:val="16"/>
          <w:color w:val="auto"/>
        </w:rPr>
        <w:t>The classification also includes tests identified as core tests and all types of expendable holes related to hydrocarbon exploration. Stratigraphic tests are classified as "exploratory type" if not drilled in a known area or "development type" if drilled in a known area.</w:t>
      </w:r>
    </w:p>
    <w:p>
      <w:pPr>
        <w:spacing w:after="0" w:line="90" w:lineRule="exact"/>
        <w:rPr>
          <w:rFonts w:ascii="Arial" w:cs="Arial" w:eastAsia="Arial" w:hAnsi="Arial"/>
          <w:sz w:val="16"/>
          <w:szCs w:val="16"/>
          <w:color w:val="auto"/>
        </w:rPr>
      </w:pPr>
    </w:p>
    <w:p>
      <w:pPr>
        <w:jc w:val="both"/>
        <w:ind w:left="1" w:hanging="1"/>
        <w:spacing w:after="0" w:line="263" w:lineRule="auto"/>
        <w:tabs>
          <w:tab w:leader="none" w:pos="334" w:val="left"/>
        </w:tabs>
        <w:numPr>
          <w:ilvl w:val="0"/>
          <w:numId w:val="88"/>
        </w:numPr>
        <w:rPr>
          <w:rFonts w:ascii="Arial" w:cs="Arial" w:eastAsia="Arial" w:hAnsi="Arial"/>
          <w:sz w:val="16"/>
          <w:szCs w:val="16"/>
          <w:color w:val="auto"/>
        </w:rPr>
      </w:pPr>
      <w:r>
        <w:rPr>
          <w:rFonts w:ascii="Arial" w:cs="Arial" w:eastAsia="Arial" w:hAnsi="Arial"/>
          <w:sz w:val="16"/>
          <w:szCs w:val="16"/>
          <w:i w:val="1"/>
          <w:iCs w:val="1"/>
          <w:color w:val="auto"/>
        </w:rPr>
        <w:t xml:space="preserve">Undeveloped oil and gas reserves. </w:t>
      </w:r>
      <w:r>
        <w:rPr>
          <w:rFonts w:ascii="Arial" w:cs="Arial" w:eastAsia="Arial" w:hAnsi="Arial"/>
          <w:sz w:val="16"/>
          <w:szCs w:val="16"/>
          <w:color w:val="auto"/>
        </w:rPr>
        <w:t>Undeveloped oil and gas reserves are reserves of any category that are expected to be</w:t>
      </w:r>
      <w:r>
        <w:rPr>
          <w:rFonts w:ascii="Arial" w:cs="Arial" w:eastAsia="Arial" w:hAnsi="Arial"/>
          <w:sz w:val="16"/>
          <w:szCs w:val="16"/>
          <w:i w:val="1"/>
          <w:iCs w:val="1"/>
          <w:color w:val="auto"/>
        </w:rPr>
        <w:t xml:space="preserve"> </w:t>
      </w:r>
      <w:r>
        <w:rPr>
          <w:rFonts w:ascii="Arial" w:cs="Arial" w:eastAsia="Arial" w:hAnsi="Arial"/>
          <w:sz w:val="16"/>
          <w:szCs w:val="16"/>
          <w:color w:val="auto"/>
        </w:rPr>
        <w:t>recovered from new wells on undrilled acreage, or from existing wells where a relatively major expenditure is required for recompletion.</w:t>
      </w:r>
    </w:p>
    <w:p>
      <w:pPr>
        <w:spacing w:after="0" w:line="87" w:lineRule="exact"/>
        <w:rPr>
          <w:rFonts w:ascii="Arial" w:cs="Arial" w:eastAsia="Arial" w:hAnsi="Arial"/>
          <w:sz w:val="16"/>
          <w:szCs w:val="16"/>
          <w:color w:val="auto"/>
        </w:rPr>
      </w:pPr>
    </w:p>
    <w:p>
      <w:pPr>
        <w:jc w:val="both"/>
        <w:ind w:left="641" w:hanging="317"/>
        <w:spacing w:after="0" w:line="251" w:lineRule="auto"/>
        <w:tabs>
          <w:tab w:leader="none" w:pos="641" w:val="left"/>
        </w:tabs>
        <w:numPr>
          <w:ilvl w:val="1"/>
          <w:numId w:val="88"/>
        </w:numPr>
        <w:rPr>
          <w:rFonts w:ascii="Arial" w:cs="Arial" w:eastAsia="Arial" w:hAnsi="Arial"/>
          <w:sz w:val="16"/>
          <w:szCs w:val="16"/>
          <w:color w:val="auto"/>
        </w:rPr>
      </w:pPr>
      <w:r>
        <w:rPr>
          <w:rFonts w:ascii="Arial" w:cs="Arial" w:eastAsia="Arial" w:hAnsi="Arial"/>
          <w:sz w:val="16"/>
          <w:szCs w:val="16"/>
          <w:color w:val="auto"/>
        </w:rPr>
        <w:t>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w:t>
      </w:r>
    </w:p>
    <w:p>
      <w:pPr>
        <w:spacing w:after="0" w:line="1" w:lineRule="exact"/>
        <w:rPr>
          <w:rFonts w:ascii="Arial" w:cs="Arial" w:eastAsia="Arial" w:hAnsi="Arial"/>
          <w:sz w:val="16"/>
          <w:szCs w:val="16"/>
          <w:color w:val="auto"/>
        </w:rPr>
      </w:pPr>
    </w:p>
    <w:p>
      <w:pPr>
        <w:ind w:left="641" w:hanging="317"/>
        <w:spacing w:after="0" w:line="260" w:lineRule="auto"/>
        <w:tabs>
          <w:tab w:leader="none" w:pos="641" w:val="left"/>
        </w:tabs>
        <w:numPr>
          <w:ilvl w:val="1"/>
          <w:numId w:val="88"/>
        </w:numPr>
        <w:rPr>
          <w:rFonts w:ascii="Arial" w:cs="Arial" w:eastAsia="Arial" w:hAnsi="Arial"/>
          <w:sz w:val="16"/>
          <w:szCs w:val="16"/>
          <w:color w:val="auto"/>
        </w:rPr>
      </w:pPr>
      <w:r>
        <w:rPr>
          <w:rFonts w:ascii="Arial" w:cs="Arial" w:eastAsia="Arial" w:hAnsi="Arial"/>
          <w:sz w:val="16"/>
          <w:szCs w:val="16"/>
          <w:color w:val="auto"/>
        </w:rPr>
        <w:t>Undrilled locations can be classified as having undeveloped reserves only if a development plan has been adopted indicating that they are scheduled to be drilled within five years, unless the specific circumstances, justify a longer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53975</wp:posOffset>
            </wp:positionV>
            <wp:extent cx="5554980" cy="23399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8">
                      <a:extLst>
                        <a:ext uri="{28A0092B-C50C-407E-A947-70E740481C1C}"/>
                      </a:extLst>
                    </a:blip>
                    <a:srcRect/>
                    <a:stretch>
                      <a:fillRect/>
                    </a:stretch>
                  </pic:blipFill>
                  <pic:spPr bwMode="auto">
                    <a:xfrm>
                      <a:off x="0" y="0"/>
                      <a:ext cx="5554980" cy="2339975"/>
                    </a:xfrm>
                    <a:prstGeom prst="rect">
                      <a:avLst/>
                    </a:prstGeom>
                    <a:noFill/>
                  </pic:spPr>
                </pic:pic>
              </a:graphicData>
            </a:graphic>
          </wp:anchor>
        </w:drawing>
      </w:r>
    </w:p>
    <w:p>
      <w:pPr>
        <w:spacing w:after="0" w:line="100" w:lineRule="exact"/>
        <w:rPr>
          <w:sz w:val="20"/>
          <w:szCs w:val="20"/>
          <w:color w:val="auto"/>
        </w:rPr>
      </w:pPr>
    </w:p>
    <w:p>
      <w:pPr>
        <w:ind w:left="341"/>
        <w:spacing w:after="0"/>
        <w:rPr>
          <w:sz w:val="20"/>
          <w:szCs w:val="20"/>
          <w:color w:val="auto"/>
        </w:rPr>
      </w:pPr>
      <w:r>
        <w:rPr>
          <w:rFonts w:ascii="Arial" w:cs="Arial" w:eastAsia="Arial" w:hAnsi="Arial"/>
          <w:sz w:val="15"/>
          <w:szCs w:val="15"/>
          <w:i w:val="1"/>
          <w:iCs w:val="1"/>
          <w:color w:val="auto"/>
        </w:rPr>
        <w:t>From the SEC's Compliance and Disclosure Interpretations (October 26, 2009):</w:t>
      </w:r>
    </w:p>
    <w:p>
      <w:pPr>
        <w:spacing w:after="0" w:line="98" w:lineRule="exact"/>
        <w:rPr>
          <w:sz w:val="20"/>
          <w:szCs w:val="20"/>
          <w:color w:val="auto"/>
        </w:rPr>
      </w:pPr>
    </w:p>
    <w:p>
      <w:pPr>
        <w:jc w:val="both"/>
        <w:ind w:left="341" w:right="320"/>
        <w:spacing w:after="0"/>
        <w:rPr>
          <w:sz w:val="20"/>
          <w:szCs w:val="20"/>
          <w:color w:val="auto"/>
        </w:rPr>
      </w:pPr>
      <w:r>
        <w:rPr>
          <w:rFonts w:ascii="Arial" w:cs="Arial" w:eastAsia="Arial" w:hAnsi="Arial"/>
          <w:sz w:val="15"/>
          <w:szCs w:val="15"/>
          <w:i w:val="1"/>
          <w:iCs w:val="1"/>
          <w:color w:val="auto"/>
        </w:rPr>
        <w:t>Although several types of projects — such as constructing offshore platforms and development in urban areas, remote locations or environmentally sensitive locations — by their nature customarily take a longer time to develop and therefore often do justify longer time periods, this determination must always take into consideration all of the facts and circumstances. No particular type of project per se justifies a longer time period, and any extension beyond five years should be the exception, and not the rule.</w:t>
      </w:r>
    </w:p>
    <w:p>
      <w:pPr>
        <w:spacing w:after="0" w:line="228" w:lineRule="exact"/>
        <w:rPr>
          <w:sz w:val="20"/>
          <w:szCs w:val="20"/>
          <w:color w:val="auto"/>
        </w:rPr>
      </w:pPr>
    </w:p>
    <w:p>
      <w:pPr>
        <w:jc w:val="both"/>
        <w:ind w:left="341" w:right="340"/>
        <w:spacing w:after="0" w:line="264" w:lineRule="auto"/>
        <w:rPr>
          <w:sz w:val="20"/>
          <w:szCs w:val="20"/>
          <w:color w:val="auto"/>
        </w:rPr>
      </w:pPr>
      <w:r>
        <w:rPr>
          <w:rFonts w:ascii="Arial" w:cs="Arial" w:eastAsia="Arial" w:hAnsi="Arial"/>
          <w:sz w:val="15"/>
          <w:szCs w:val="15"/>
          <w:i w:val="1"/>
          <w:iCs w:val="1"/>
          <w:color w:val="auto"/>
        </w:rPr>
        <w:t>Factors that a company should consider in determining whether or not circumstances justify recognizing reserves even though development may extend past five years include, but are not limited to, the following:</w:t>
      </w:r>
    </w:p>
    <w:p>
      <w:pPr>
        <w:spacing w:after="0" w:line="66" w:lineRule="exact"/>
        <w:rPr>
          <w:sz w:val="20"/>
          <w:szCs w:val="20"/>
          <w:color w:val="auto"/>
        </w:rPr>
      </w:pPr>
    </w:p>
    <w:p>
      <w:pPr>
        <w:jc w:val="both"/>
        <w:ind w:left="741" w:right="320" w:hanging="242"/>
        <w:spacing w:after="0" w:line="232" w:lineRule="auto"/>
        <w:tabs>
          <w:tab w:leader="none" w:pos="764" w:val="left"/>
        </w:tabs>
        <w:numPr>
          <w:ilvl w:val="2"/>
          <w:numId w:val="89"/>
        </w:numPr>
        <w:rPr>
          <w:rFonts w:ascii="Arial" w:cs="Arial" w:eastAsia="Arial" w:hAnsi="Arial"/>
          <w:sz w:val="15"/>
          <w:szCs w:val="15"/>
          <w:color w:val="auto"/>
        </w:rPr>
      </w:pPr>
      <w:r>
        <w:rPr>
          <w:rFonts w:ascii="Arial" w:cs="Arial" w:eastAsia="Arial" w:hAnsi="Arial"/>
          <w:sz w:val="15"/>
          <w:szCs w:val="15"/>
          <w:i w:val="1"/>
          <w:iCs w:val="1"/>
          <w:color w:val="auto"/>
        </w:rPr>
        <w:t>The company's level of ongoing significant development activities in the area to be developed (for example, drilling only the minimum number of wells necessary to maintain the lease generally would not constitute significant development activities);</w:t>
      </w:r>
    </w:p>
    <w:p>
      <w:pPr>
        <w:spacing w:after="0" w:line="1" w:lineRule="exact"/>
        <w:rPr>
          <w:rFonts w:ascii="Arial" w:cs="Arial" w:eastAsia="Arial" w:hAnsi="Arial"/>
          <w:sz w:val="15"/>
          <w:szCs w:val="15"/>
          <w:color w:val="auto"/>
        </w:rPr>
      </w:pPr>
    </w:p>
    <w:p>
      <w:pPr>
        <w:ind w:left="761" w:hanging="262"/>
        <w:spacing w:after="0" w:line="225" w:lineRule="auto"/>
        <w:tabs>
          <w:tab w:leader="none" w:pos="761" w:val="left"/>
        </w:tabs>
        <w:numPr>
          <w:ilvl w:val="2"/>
          <w:numId w:val="89"/>
        </w:numPr>
        <w:rPr>
          <w:rFonts w:ascii="Arial" w:cs="Arial" w:eastAsia="Arial" w:hAnsi="Arial"/>
          <w:sz w:val="15"/>
          <w:szCs w:val="15"/>
          <w:color w:val="auto"/>
        </w:rPr>
      </w:pPr>
      <w:r>
        <w:rPr>
          <w:rFonts w:ascii="Arial" w:cs="Arial" w:eastAsia="Arial" w:hAnsi="Arial"/>
          <w:sz w:val="15"/>
          <w:szCs w:val="15"/>
          <w:i w:val="1"/>
          <w:iCs w:val="1"/>
          <w:color w:val="auto"/>
        </w:rPr>
        <w:t>The company's historical record at completing development of comparable long-term projects;</w:t>
      </w:r>
    </w:p>
    <w:p>
      <w:pPr>
        <w:ind w:left="741" w:right="340" w:hanging="215"/>
        <w:spacing w:after="0" w:line="225" w:lineRule="auto"/>
        <w:tabs>
          <w:tab w:leader="none" w:pos="818" w:val="left"/>
        </w:tabs>
        <w:numPr>
          <w:ilvl w:val="3"/>
          <w:numId w:val="89"/>
        </w:numPr>
        <w:rPr>
          <w:rFonts w:ascii="Arial" w:cs="Arial" w:eastAsia="Arial" w:hAnsi="Arial"/>
          <w:sz w:val="15"/>
          <w:szCs w:val="15"/>
          <w:color w:val="auto"/>
        </w:rPr>
      </w:pPr>
      <w:r>
        <w:rPr>
          <w:rFonts w:ascii="Arial" w:cs="Arial" w:eastAsia="Arial" w:hAnsi="Arial"/>
          <w:sz w:val="15"/>
          <w:szCs w:val="15"/>
          <w:i w:val="1"/>
          <w:iCs w:val="1"/>
          <w:color w:val="auto"/>
        </w:rPr>
        <w:t>The amount of time in which the company has maintained the leases, or booked the reserves, without significant development activities;</w:t>
      </w:r>
    </w:p>
    <w:p>
      <w:pPr>
        <w:jc w:val="both"/>
        <w:ind w:left="741" w:right="340" w:hanging="235"/>
        <w:spacing w:after="0" w:line="225" w:lineRule="auto"/>
        <w:tabs>
          <w:tab w:leader="none" w:pos="777" w:val="left"/>
        </w:tabs>
        <w:numPr>
          <w:ilvl w:val="2"/>
          <w:numId w:val="89"/>
        </w:numPr>
        <w:rPr>
          <w:rFonts w:ascii="Arial" w:cs="Arial" w:eastAsia="Arial" w:hAnsi="Arial"/>
          <w:sz w:val="15"/>
          <w:szCs w:val="15"/>
          <w:color w:val="auto"/>
        </w:rPr>
      </w:pPr>
      <w:r>
        <w:rPr>
          <w:rFonts w:ascii="Arial" w:cs="Arial" w:eastAsia="Arial" w:hAnsi="Arial"/>
          <w:sz w:val="15"/>
          <w:szCs w:val="15"/>
          <w:i w:val="1"/>
          <w:iCs w:val="1"/>
          <w:color w:val="auto"/>
        </w:rPr>
        <w:t>The extent to which the company has followed a previously adopted development plan (for example, if a company has changed its development plan several times without taking significant steps to implement any of those plans, recognizing proved undeveloped reserves typically would not be appropriate); and</w:t>
      </w:r>
    </w:p>
    <w:p>
      <w:pPr>
        <w:jc w:val="both"/>
        <w:ind w:left="741" w:right="340" w:hanging="242"/>
        <w:spacing w:after="0" w:line="235" w:lineRule="auto"/>
        <w:tabs>
          <w:tab w:leader="none" w:pos="764" w:val="left"/>
        </w:tabs>
        <w:numPr>
          <w:ilvl w:val="2"/>
          <w:numId w:val="89"/>
        </w:numPr>
        <w:rPr>
          <w:rFonts w:ascii="Arial" w:cs="Arial" w:eastAsia="Arial" w:hAnsi="Arial"/>
          <w:sz w:val="15"/>
          <w:szCs w:val="15"/>
          <w:color w:val="auto"/>
        </w:rPr>
      </w:pPr>
      <w:r>
        <w:rPr>
          <w:rFonts w:ascii="Arial" w:cs="Arial" w:eastAsia="Arial" w:hAnsi="Arial"/>
          <w:sz w:val="15"/>
          <w:szCs w:val="15"/>
          <w:i w:val="1"/>
          <w:iCs w:val="1"/>
          <w:color w:val="auto"/>
        </w:rPr>
        <w:t>The extent to which delays in development are caused by external factors related to the physical operating environment (for example, restrictions on development on Federal lands, but not obtaining government permits), rather than by internal factors (for example, shifting resources to develop properties with higher priority).</w:t>
      </w:r>
    </w:p>
    <w:p>
      <w:pPr>
        <w:spacing w:after="0" w:line="148" w:lineRule="exact"/>
        <w:rPr>
          <w:rFonts w:ascii="Arial" w:cs="Arial" w:eastAsia="Arial" w:hAnsi="Arial"/>
          <w:sz w:val="15"/>
          <w:szCs w:val="15"/>
          <w:color w:val="auto"/>
        </w:rPr>
      </w:pPr>
    </w:p>
    <w:p>
      <w:pPr>
        <w:jc w:val="both"/>
        <w:ind w:left="641" w:hanging="317"/>
        <w:spacing w:after="0" w:line="256" w:lineRule="auto"/>
        <w:tabs>
          <w:tab w:leader="none" w:pos="641" w:val="left"/>
        </w:tabs>
        <w:numPr>
          <w:ilvl w:val="1"/>
          <w:numId w:val="89"/>
        </w:numPr>
        <w:rPr>
          <w:rFonts w:ascii="Arial" w:cs="Arial" w:eastAsia="Arial" w:hAnsi="Arial"/>
          <w:sz w:val="16"/>
          <w:szCs w:val="16"/>
          <w:color w:val="auto"/>
        </w:rPr>
      </w:pPr>
      <w:r>
        <w:rPr>
          <w:rFonts w:ascii="Arial" w:cs="Arial" w:eastAsia="Arial" w:hAnsi="Arial"/>
          <w:sz w:val="16"/>
          <w:szCs w:val="16"/>
          <w:color w:val="auto"/>
        </w:rPr>
        <w:t>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paragraph (a)(2) of this section, or by other evidence using reliable technology establishing reasonable certainty.</w:t>
      </w:r>
    </w:p>
    <w:p>
      <w:pPr>
        <w:spacing w:after="0" w:line="88" w:lineRule="exact"/>
        <w:rPr>
          <w:rFonts w:ascii="Arial" w:cs="Arial" w:eastAsia="Arial" w:hAnsi="Arial"/>
          <w:sz w:val="16"/>
          <w:szCs w:val="16"/>
          <w:color w:val="auto"/>
        </w:rPr>
      </w:pPr>
    </w:p>
    <w:p>
      <w:pPr>
        <w:ind w:left="341" w:hanging="341"/>
        <w:spacing w:after="0"/>
        <w:tabs>
          <w:tab w:leader="none" w:pos="341" w:val="left"/>
        </w:tabs>
        <w:numPr>
          <w:ilvl w:val="0"/>
          <w:numId w:val="90"/>
        </w:numPr>
        <w:rPr>
          <w:rFonts w:ascii="Arial" w:cs="Arial" w:eastAsia="Arial" w:hAnsi="Arial"/>
          <w:sz w:val="16"/>
          <w:szCs w:val="16"/>
          <w:color w:val="auto"/>
        </w:rPr>
      </w:pPr>
      <w:r>
        <w:rPr>
          <w:rFonts w:ascii="Arial" w:cs="Arial" w:eastAsia="Arial" w:hAnsi="Arial"/>
          <w:sz w:val="16"/>
          <w:szCs w:val="16"/>
          <w:i w:val="1"/>
          <w:iCs w:val="1"/>
          <w:color w:val="auto"/>
        </w:rPr>
        <w:t xml:space="preserve">Unproved properties. </w:t>
      </w:r>
      <w:r>
        <w:rPr>
          <w:rFonts w:ascii="Arial" w:cs="Arial" w:eastAsia="Arial" w:hAnsi="Arial"/>
          <w:sz w:val="16"/>
          <w:szCs w:val="16"/>
          <w:color w:val="auto"/>
        </w:rPr>
        <w:t>Properties with no proved reserves.</w:t>
      </w:r>
    </w:p>
    <w:p>
      <w:pPr>
        <w:spacing w:after="0" w:line="144" w:lineRule="exact"/>
        <w:rPr>
          <w:sz w:val="20"/>
          <w:szCs w:val="20"/>
          <w:color w:val="auto"/>
        </w:rPr>
      </w:pPr>
    </w:p>
    <w:p>
      <w:pPr>
        <w:ind w:left="7521"/>
        <w:spacing w:after="0"/>
        <w:rPr>
          <w:sz w:val="20"/>
          <w:szCs w:val="20"/>
          <w:color w:val="auto"/>
        </w:rPr>
      </w:pPr>
      <w:r>
        <w:rPr>
          <w:rFonts w:ascii="Arial" w:cs="Arial" w:eastAsia="Arial" w:hAnsi="Arial"/>
          <w:sz w:val="16"/>
          <w:szCs w:val="16"/>
          <w:color w:val="auto"/>
        </w:rPr>
        <w:t>Definitions - Page 6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352425</wp:posOffset>
            </wp:positionV>
            <wp:extent cx="588073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9">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1"/>
          </w:cols>
          <w:pgMar w:left="1319" w:top="1016" w:right="1339" w:bottom="1440" w:gutter="0" w:footer="0" w:header="0"/>
        </w:sectPr>
      </w:pPr>
    </w:p>
    <w:bookmarkStart w:id="142" w:name="page143"/>
    <w:bookmarkEnd w:id="142"/>
    <w:p>
      <w:pPr>
        <w:jc w:val="center"/>
        <w:ind w:right="-640"/>
        <w:spacing w:after="0"/>
        <w:rPr>
          <w:sz w:val="20"/>
          <w:szCs w:val="20"/>
          <w:color w:val="auto"/>
        </w:rPr>
      </w:pPr>
      <w:r>
        <w:rPr>
          <w:rFonts w:ascii="Arial" w:cs="Arial" w:eastAsia="Arial" w:hAnsi="Arial"/>
          <w:sz w:val="22"/>
          <w:szCs w:val="22"/>
          <w:b w:val="1"/>
          <w:bCs w:val="1"/>
          <w:color w:val="auto"/>
        </w:rPr>
        <w:t>DeGolyer and MacNaughton</w:t>
      </w:r>
    </w:p>
    <w:p>
      <w:pPr>
        <w:spacing w:after="0" w:line="31"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5001 Spring Valley Road</w:t>
      </w:r>
    </w:p>
    <w:p>
      <w:pPr>
        <w:spacing w:after="0" w:line="2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Suite 800 East</w:t>
      </w:r>
    </w:p>
    <w:p>
      <w:pPr>
        <w:spacing w:after="0" w:line="1"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Dallas, Texas 75244</w:t>
      </w:r>
    </w:p>
    <w:p>
      <w:pPr>
        <w:ind w:left="7500"/>
        <w:spacing w:after="0"/>
        <w:rPr>
          <w:sz w:val="20"/>
          <w:szCs w:val="20"/>
          <w:color w:val="auto"/>
        </w:rPr>
      </w:pPr>
      <w:r>
        <w:rPr>
          <w:rFonts w:ascii="Arial" w:cs="Arial" w:eastAsia="Arial" w:hAnsi="Arial"/>
          <w:sz w:val="18"/>
          <w:szCs w:val="18"/>
          <w:b w:val="1"/>
          <w:bCs w:val="1"/>
          <w:color w:val="auto"/>
        </w:rPr>
        <w:t>EXHIBIT 99.2</w:t>
      </w:r>
    </w:p>
    <w:p>
      <w:pPr>
        <w:spacing w:after="0" w:line="193"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August 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Evolution Petroleum Corporation</w:t>
      </w:r>
    </w:p>
    <w:p>
      <w:pPr>
        <w:spacing w:after="0" w:line="54" w:lineRule="exact"/>
        <w:rPr>
          <w:sz w:val="20"/>
          <w:szCs w:val="20"/>
          <w:color w:val="auto"/>
        </w:rPr>
      </w:pPr>
    </w:p>
    <w:p>
      <w:pPr>
        <w:ind w:left="880"/>
        <w:spacing w:after="0"/>
        <w:rPr>
          <w:sz w:val="20"/>
          <w:szCs w:val="20"/>
          <w:color w:val="auto"/>
        </w:rPr>
      </w:pPr>
      <w:r>
        <w:rPr>
          <w:rFonts w:ascii="Arial" w:cs="Arial" w:eastAsia="Arial" w:hAnsi="Arial"/>
          <w:sz w:val="20"/>
          <w:szCs w:val="20"/>
          <w:color w:val="auto"/>
        </w:rPr>
        <w:t>1155 Dairy Ashford Rd., Suite 425</w:t>
      </w:r>
    </w:p>
    <w:p>
      <w:pPr>
        <w:spacing w:after="0" w:line="54" w:lineRule="exact"/>
        <w:rPr>
          <w:sz w:val="20"/>
          <w:szCs w:val="20"/>
          <w:color w:val="auto"/>
        </w:rPr>
      </w:pPr>
    </w:p>
    <w:p>
      <w:pPr>
        <w:ind w:left="880"/>
        <w:spacing w:after="0"/>
        <w:rPr>
          <w:sz w:val="20"/>
          <w:szCs w:val="20"/>
          <w:color w:val="auto"/>
        </w:rPr>
      </w:pPr>
      <w:r>
        <w:rPr>
          <w:rFonts w:ascii="Arial" w:cs="Arial" w:eastAsia="Arial" w:hAnsi="Arial"/>
          <w:sz w:val="20"/>
          <w:szCs w:val="20"/>
          <w:color w:val="auto"/>
        </w:rPr>
        <w:t>Houston, Texas 77079</w:t>
      </w:r>
    </w:p>
    <w:p>
      <w:pPr>
        <w:spacing w:after="0" w:line="200" w:lineRule="exact"/>
        <w:rPr>
          <w:sz w:val="20"/>
          <w:szCs w:val="20"/>
          <w:color w:val="auto"/>
        </w:rPr>
      </w:pPr>
    </w:p>
    <w:p>
      <w:pPr>
        <w:spacing w:after="0" w:line="218" w:lineRule="exact"/>
        <w:rPr>
          <w:sz w:val="20"/>
          <w:szCs w:val="20"/>
          <w:color w:val="auto"/>
        </w:rPr>
      </w:pPr>
    </w:p>
    <w:p>
      <w:pPr>
        <w:ind w:left="880"/>
        <w:spacing w:after="0"/>
        <w:rPr>
          <w:sz w:val="20"/>
          <w:szCs w:val="20"/>
          <w:color w:val="auto"/>
        </w:rPr>
      </w:pPr>
      <w:r>
        <w:rPr>
          <w:rFonts w:ascii="Arial" w:cs="Arial" w:eastAsia="Arial" w:hAnsi="Arial"/>
          <w:sz w:val="20"/>
          <w:szCs w:val="20"/>
          <w:color w:val="auto"/>
        </w:rPr>
        <w:t>Ladies and Gentlemen:</w:t>
      </w:r>
    </w:p>
    <w:p>
      <w:pPr>
        <w:spacing w:after="0" w:line="351" w:lineRule="exact"/>
        <w:rPr>
          <w:sz w:val="20"/>
          <w:szCs w:val="20"/>
          <w:color w:val="auto"/>
        </w:rPr>
      </w:pPr>
    </w:p>
    <w:p>
      <w:pPr>
        <w:jc w:val="both"/>
        <w:ind w:left="880" w:right="219" w:firstLine="648"/>
        <w:spacing w:after="0" w:line="318" w:lineRule="auto"/>
        <w:rPr>
          <w:sz w:val="20"/>
          <w:szCs w:val="20"/>
          <w:color w:val="auto"/>
        </w:rPr>
      </w:pPr>
      <w:r>
        <w:rPr>
          <w:rFonts w:ascii="Arial" w:cs="Arial" w:eastAsia="Arial" w:hAnsi="Arial"/>
          <w:sz w:val="19"/>
          <w:szCs w:val="19"/>
          <w:color w:val="auto"/>
        </w:rPr>
        <w:t>Pursuant to your request, this report of third party presents an independent evaluation, as of June 30, 2023, of the extent and value of the estimated net proved oil, condensate, natural gas liquids (NGL), and gas reserves of the Delhi field in Louisiana, the net proved developed producing condensate, NGL, and gas reserves of the Barnett Shale in Texas, and the net proved developed producing oil reserves of the Hamilton Dome field in Wyoming in which Evolution Petroleum Corporation and its subsidiaries (collectively referred to herein as Evolution) have represented they hold an interest. The properties evaluated herein consist of working and royalty interests. This evaluation was completed on August 7, 2023. Evolution has represented that these properties account for 60.65 percent on a net equivalent barrel basis of Evolution’s net proved reserves as of June 30, 2023. The net proved reserves estimates have been prepared in accordance with the reserves definitions of Rules 4–10(a) (1)–(32) of Regulation S–X of the United States Securities and Exchange Commission (SEC). This report was prepared in accordance with the guidelines specified in Item 1202 (a)(8) of Regulation S–K and is to be used for inclusion in certain SEC filings by Evolution.</w:t>
      </w:r>
    </w:p>
    <w:p>
      <w:pPr>
        <w:spacing w:after="0" w:line="267" w:lineRule="exact"/>
        <w:rPr>
          <w:sz w:val="20"/>
          <w:szCs w:val="20"/>
          <w:color w:val="auto"/>
        </w:rPr>
      </w:pPr>
    </w:p>
    <w:p>
      <w:pPr>
        <w:jc w:val="both"/>
        <w:ind w:left="880" w:right="219" w:firstLine="648"/>
        <w:spacing w:after="0" w:line="328" w:lineRule="auto"/>
        <w:rPr>
          <w:sz w:val="20"/>
          <w:szCs w:val="20"/>
          <w:color w:val="auto"/>
        </w:rPr>
      </w:pPr>
      <w:r>
        <w:rPr>
          <w:rFonts w:ascii="Arial" w:cs="Arial" w:eastAsia="Arial" w:hAnsi="Arial"/>
          <w:sz w:val="19"/>
          <w:szCs w:val="19"/>
          <w:color w:val="auto"/>
        </w:rPr>
        <w:t>Reserves estimates included herein are expressed as net reserves. Gross reserves are defined as the total estimated petroleum remaining to be produced from these properties after June 30, 2023. Net reserves are defined as that portion of the gross reserves attributable to the interests held by Evolution after deducting all interests held by others.</w:t>
      </w:r>
    </w:p>
    <w:p>
      <w:pPr>
        <w:spacing w:after="0" w:line="250" w:lineRule="exact"/>
        <w:rPr>
          <w:sz w:val="20"/>
          <w:szCs w:val="20"/>
          <w:color w:val="auto"/>
        </w:rPr>
      </w:pPr>
    </w:p>
    <w:p>
      <w:pPr>
        <w:jc w:val="both"/>
        <w:ind w:left="880" w:right="219" w:firstLine="648"/>
        <w:spacing w:after="0" w:line="306" w:lineRule="auto"/>
        <w:rPr>
          <w:sz w:val="20"/>
          <w:szCs w:val="20"/>
          <w:color w:val="auto"/>
        </w:rPr>
      </w:pPr>
      <w:r>
        <w:rPr>
          <w:rFonts w:ascii="Arial" w:cs="Arial" w:eastAsia="Arial" w:hAnsi="Arial"/>
          <w:sz w:val="20"/>
          <w:szCs w:val="20"/>
          <w:color w:val="auto"/>
        </w:rPr>
        <w:t>Values for proved reserves in this report are expressed in terms of future gross revenue, future net revenue, and present worth. Future gross revenue is defined as that revenue which will accrue to the evaluated interests from the production and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463550</wp:posOffset>
            </wp:positionV>
            <wp:extent cx="503174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0">
                      <a:extLst>
                        <a:ext uri="{28A0092B-C50C-407E-A947-70E740481C1C}"/>
                      </a:extLst>
                    </a:blip>
                    <a:srcRect/>
                    <a:stretch>
                      <a:fillRect/>
                    </a:stretch>
                  </pic:blipFill>
                  <pic:spPr bwMode="auto">
                    <a:xfrm>
                      <a:off x="0" y="0"/>
                      <a:ext cx="5031740" cy="1714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color w:val="auto"/>
        </w:rPr>
        <w:t>2</w:t>
      </w:r>
    </w:p>
    <w:p>
      <w:pPr>
        <w:spacing w:after="0" w:line="23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DeGolyer and MacNaughton</w:t>
      </w:r>
    </w:p>
    <w:p>
      <w:pPr>
        <w:spacing w:after="0" w:line="309" w:lineRule="exact"/>
        <w:rPr>
          <w:sz w:val="20"/>
          <w:szCs w:val="20"/>
          <w:color w:val="auto"/>
        </w:rPr>
      </w:pPr>
    </w:p>
    <w:p>
      <w:pPr>
        <w:jc w:val="both"/>
        <w:ind w:left="880" w:right="640"/>
        <w:spacing w:after="0" w:line="338" w:lineRule="auto"/>
        <w:rPr>
          <w:sz w:val="20"/>
          <w:szCs w:val="20"/>
          <w:color w:val="auto"/>
        </w:rPr>
      </w:pPr>
      <w:r>
        <w:rPr>
          <w:rFonts w:ascii="Arial" w:cs="Arial" w:eastAsia="Arial" w:hAnsi="Arial"/>
          <w:sz w:val="18"/>
          <w:szCs w:val="18"/>
          <w:color w:val="auto"/>
        </w:rPr>
        <w:t>of the estimated net reserves. Future net revenue is calculated by deducting production taxes, ad valorem taxes, operating expenses, capital costs, and abandonment costs from future gross revenue. Operating expenses include field operating expenses, carbon dioxide purchase expenses, transportation and processing expenses, compression charges, and overhead that directly relates to production activities. Capital costs include drilling and completion costs, facilities costs, and field maintenance costs. Abandonment costs are represented by Evolution to be inclusive of those costs associated with the removal of equipment, plugging of wells, and reclamation and restoration associated with abandonment. At the request of Evolution, future income taxes were not taken into account in the preparation of these estimates. Present worth is defined as future net revenue discounted at a discount rate of 10 percent per year compounded at mid-year on an annual basis over the expected period of realization. Present worth should not be construed as fair market value because no consideration was given to additional factors that influence the prices at which properties are bought and sold.</w:t>
      </w:r>
    </w:p>
    <w:p>
      <w:pPr>
        <w:spacing w:after="0" w:line="247" w:lineRule="exact"/>
        <w:rPr>
          <w:sz w:val="20"/>
          <w:szCs w:val="20"/>
          <w:color w:val="auto"/>
        </w:rPr>
      </w:pPr>
    </w:p>
    <w:p>
      <w:pPr>
        <w:jc w:val="both"/>
        <w:ind w:left="880" w:right="640" w:firstLine="648"/>
        <w:spacing w:after="0" w:line="404" w:lineRule="auto"/>
        <w:rPr>
          <w:sz w:val="20"/>
          <w:szCs w:val="20"/>
          <w:color w:val="auto"/>
        </w:rPr>
      </w:pPr>
      <w:r>
        <w:rPr>
          <w:rFonts w:ascii="Arial" w:cs="Arial" w:eastAsia="Arial" w:hAnsi="Arial"/>
          <w:sz w:val="16"/>
          <w:szCs w:val="16"/>
          <w:color w:val="auto"/>
        </w:rPr>
        <w:t>Estimates of reserves and revenue should be regarded only as estimates that may change as further production history and additional information become available. Not only are such estimates based on that information which is currently available, but such estimates are also subject to the uncertainties inherent in the application of judgmental factors in interpreting such information.</w:t>
      </w:r>
    </w:p>
    <w:p>
      <w:pPr>
        <w:spacing w:after="0" w:line="192" w:lineRule="exact"/>
        <w:rPr>
          <w:sz w:val="20"/>
          <w:szCs w:val="20"/>
          <w:color w:val="auto"/>
        </w:rPr>
      </w:pPr>
    </w:p>
    <w:p>
      <w:pPr>
        <w:jc w:val="both"/>
        <w:ind w:left="880" w:right="640" w:firstLine="648"/>
        <w:spacing w:after="0" w:line="342" w:lineRule="auto"/>
        <w:rPr>
          <w:sz w:val="20"/>
          <w:szCs w:val="20"/>
          <w:color w:val="auto"/>
        </w:rPr>
      </w:pPr>
      <w:r>
        <w:rPr>
          <w:rFonts w:ascii="Arial" w:cs="Arial" w:eastAsia="Arial" w:hAnsi="Arial"/>
          <w:sz w:val="18"/>
          <w:szCs w:val="18"/>
          <w:color w:val="auto"/>
        </w:rPr>
        <w:t>Information used in the preparation of this report was obtained from Evolution and from public sources. In the preparation of this report we have relied, without independent verification, upon such information furnished by Evolution with respect to the property interests being evaluated, production from such properties, current costs of operation and development, current prices for production, agreements relating to current and future operations and sale of production, and various other information and data that were accepted as represented. A field examination was not considered necessary for the purposes of this report.</w:t>
      </w:r>
    </w:p>
    <w:p>
      <w:pPr>
        <w:spacing w:after="0" w:line="238" w:lineRule="exact"/>
        <w:rPr>
          <w:sz w:val="20"/>
          <w:szCs w:val="20"/>
          <w:color w:val="auto"/>
        </w:rPr>
      </w:pPr>
    </w:p>
    <w:p>
      <w:pPr>
        <w:ind w:left="880"/>
        <w:spacing w:after="0"/>
        <w:rPr>
          <w:sz w:val="20"/>
          <w:szCs w:val="20"/>
          <w:color w:val="auto"/>
        </w:rPr>
      </w:pPr>
      <w:r>
        <w:rPr>
          <w:rFonts w:ascii="Arial" w:cs="Arial" w:eastAsia="Arial" w:hAnsi="Arial"/>
          <w:sz w:val="20"/>
          <w:szCs w:val="20"/>
          <w:b w:val="1"/>
          <w:bCs w:val="1"/>
          <w:u w:val="single" w:color="auto"/>
          <w:color w:val="auto"/>
        </w:rPr>
        <w:t>Definition of Reserves</w:t>
      </w:r>
    </w:p>
    <w:p>
      <w:pPr>
        <w:spacing w:after="0" w:line="357" w:lineRule="exact"/>
        <w:rPr>
          <w:sz w:val="20"/>
          <w:szCs w:val="20"/>
          <w:color w:val="auto"/>
        </w:rPr>
      </w:pPr>
    </w:p>
    <w:p>
      <w:pPr>
        <w:jc w:val="both"/>
        <w:ind w:left="880" w:right="640" w:firstLine="648"/>
        <w:spacing w:after="0" w:line="320" w:lineRule="auto"/>
        <w:rPr>
          <w:sz w:val="20"/>
          <w:szCs w:val="20"/>
          <w:color w:val="auto"/>
        </w:rPr>
      </w:pPr>
      <w:r>
        <w:rPr>
          <w:rFonts w:ascii="Arial" w:cs="Arial" w:eastAsia="Arial" w:hAnsi="Arial"/>
          <w:sz w:val="19"/>
          <w:szCs w:val="19"/>
          <w:color w:val="auto"/>
        </w:rPr>
        <w:t>Petroleum reserves included in this report are classified by degree of proof as proved. Only proved reserves have been evaluated for this report. Reserves classifications used in this report are in accordance with the reserves definitions of Rules 4–10(a) (1)–(32) of Regulation S–X of the SEC. Reserves are judged to be economically producible in future years from known reservoirs under existing economic and operating conditions and assuming continuation of current regulatory practices using conventional production methods and equipment. In the analyses of production-decline curves, reserves were estimated only to the limit of economic rates of production under existing economic and operating conditions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450850</wp:posOffset>
            </wp:positionV>
            <wp:extent cx="5031740"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1">
                      <a:extLst>
                        <a:ext uri="{28A0092B-C50C-407E-A947-70E740481C1C}"/>
                      </a:extLst>
                    </a:blip>
                    <a:srcRect/>
                    <a:stretch>
                      <a:fillRect/>
                    </a:stretch>
                  </pic:blipFill>
                  <pic:spPr bwMode="auto">
                    <a:xfrm>
                      <a:off x="0" y="0"/>
                      <a:ext cx="5031740" cy="25400"/>
                    </a:xfrm>
                    <a:prstGeom prst="rect">
                      <a:avLst/>
                    </a:prstGeom>
                    <a:noFill/>
                  </pic:spPr>
                </pic:pic>
              </a:graphicData>
            </a:graphic>
          </wp:anchor>
        </w:drawing>
      </w:r>
    </w:p>
    <w:p>
      <w:pPr>
        <w:sectPr>
          <w:pgSz w:w="11900" w:h="16838" w:orient="portrait"/>
          <w:cols w:equalWidth="0" w:num="1">
            <w:col w:w="9440"/>
          </w:cols>
          <w:pgMar w:left="1440" w:top="665" w:right="101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color w:val="auto"/>
        </w:rPr>
        <w:t>3</w:t>
      </w:r>
    </w:p>
    <w:p>
      <w:pPr>
        <w:spacing w:after="0" w:line="23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DeGolyer and MacNaughton</w:t>
      </w:r>
    </w:p>
    <w:p>
      <w:pPr>
        <w:spacing w:after="0" w:line="309" w:lineRule="exact"/>
        <w:rPr>
          <w:sz w:val="20"/>
          <w:szCs w:val="20"/>
          <w:color w:val="auto"/>
        </w:rPr>
      </w:pPr>
    </w:p>
    <w:p>
      <w:pPr>
        <w:jc w:val="both"/>
        <w:ind w:left="880" w:right="640"/>
        <w:spacing w:after="0" w:line="336" w:lineRule="auto"/>
        <w:rPr>
          <w:sz w:val="20"/>
          <w:szCs w:val="20"/>
          <w:color w:val="auto"/>
        </w:rPr>
      </w:pPr>
      <w:r>
        <w:rPr>
          <w:rFonts w:ascii="Arial" w:cs="Arial" w:eastAsia="Arial" w:hAnsi="Arial"/>
          <w:sz w:val="19"/>
          <w:szCs w:val="19"/>
          <w:color w:val="auto"/>
        </w:rPr>
        <w:t>prices and costs consistent with the effective date of this report, including consideration of changes in existing prices provided only by contractual arrangements but not including escalations based upon future conditions. The petroleum reserves are classified as follows:</w:t>
      </w:r>
    </w:p>
    <w:p>
      <w:pPr>
        <w:spacing w:after="0" w:line="243" w:lineRule="exact"/>
        <w:rPr>
          <w:sz w:val="20"/>
          <w:szCs w:val="20"/>
          <w:color w:val="auto"/>
        </w:rPr>
      </w:pPr>
    </w:p>
    <w:p>
      <w:pPr>
        <w:jc w:val="both"/>
        <w:ind w:left="1520" w:right="1300"/>
        <w:spacing w:after="0" w:line="337" w:lineRule="auto"/>
        <w:rPr>
          <w:sz w:val="20"/>
          <w:szCs w:val="20"/>
          <w:color w:val="auto"/>
        </w:rPr>
      </w:pPr>
      <w:r>
        <w:rPr>
          <w:rFonts w:ascii="Arial" w:cs="Arial" w:eastAsia="Arial" w:hAnsi="Arial"/>
          <w:sz w:val="18"/>
          <w:szCs w:val="18"/>
          <w:i w:val="1"/>
          <w:iCs w:val="1"/>
          <w:color w:val="auto"/>
        </w:rPr>
        <w:t xml:space="preserve">Proved oil and gas reserves </w:t>
      </w:r>
      <w:r>
        <w:rPr>
          <w:rFonts w:ascii="Arial" w:cs="Arial" w:eastAsia="Arial" w:hAnsi="Arial"/>
          <w:sz w:val="18"/>
          <w:szCs w:val="18"/>
          <w:color w:val="auto"/>
        </w:rPr>
        <w:t>– Proved oil and gas reserves are those quantities of oil</w:t>
      </w:r>
      <w:r>
        <w:rPr>
          <w:rFonts w:ascii="Arial" w:cs="Arial" w:eastAsia="Arial" w:hAnsi="Arial"/>
          <w:sz w:val="18"/>
          <w:szCs w:val="18"/>
          <w:i w:val="1"/>
          <w:iCs w:val="1"/>
          <w:color w:val="auto"/>
        </w:rPr>
        <w:t xml:space="preserve"> </w:t>
      </w:r>
      <w:r>
        <w:rPr>
          <w:rFonts w:ascii="Arial" w:cs="Arial" w:eastAsia="Arial" w:hAnsi="Arial"/>
          <w:sz w:val="18"/>
          <w:szCs w:val="18"/>
          <w:color w:val="auto"/>
        </w:rPr>
        <w:t>and gas, which, by analysis of geoscience 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253"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(i) The area of the reservoir considered as proved includes:</w:t>
      </w:r>
    </w:p>
    <w:p>
      <w:pPr>
        <w:spacing w:after="0" w:line="54" w:lineRule="exact"/>
        <w:rPr>
          <w:sz w:val="20"/>
          <w:szCs w:val="20"/>
          <w:color w:val="auto"/>
        </w:rPr>
      </w:pPr>
    </w:p>
    <w:p>
      <w:pPr>
        <w:ind w:left="2160" w:hanging="318"/>
        <w:spacing w:after="0"/>
        <w:tabs>
          <w:tab w:leader="none" w:pos="2160" w:val="left"/>
        </w:tabs>
        <w:numPr>
          <w:ilvl w:val="0"/>
          <w:numId w:val="91"/>
        </w:numPr>
        <w:rPr>
          <w:rFonts w:ascii="Arial" w:cs="Arial" w:eastAsia="Arial" w:hAnsi="Arial"/>
          <w:sz w:val="20"/>
          <w:szCs w:val="20"/>
          <w:color w:val="auto"/>
        </w:rPr>
      </w:pPr>
      <w:r>
        <w:rPr>
          <w:rFonts w:ascii="Arial" w:cs="Arial" w:eastAsia="Arial" w:hAnsi="Arial"/>
          <w:sz w:val="20"/>
          <w:szCs w:val="20"/>
          <w:color w:val="auto"/>
        </w:rPr>
        <w:t>The area identified by drilling and limited by fluid contacts, if any, and</w:t>
      </w:r>
    </w:p>
    <w:p>
      <w:pPr>
        <w:spacing w:after="0" w:line="67" w:lineRule="exact"/>
        <w:rPr>
          <w:rFonts w:ascii="Arial" w:cs="Arial" w:eastAsia="Arial" w:hAnsi="Arial"/>
          <w:sz w:val="20"/>
          <w:szCs w:val="20"/>
          <w:color w:val="auto"/>
        </w:rPr>
      </w:pPr>
    </w:p>
    <w:p>
      <w:pPr>
        <w:jc w:val="both"/>
        <w:ind w:left="1840" w:right="1620" w:firstLine="2"/>
        <w:spacing w:after="0" w:line="307" w:lineRule="auto"/>
        <w:tabs>
          <w:tab w:leader="none" w:pos="2175" w:val="left"/>
        </w:tabs>
        <w:numPr>
          <w:ilvl w:val="0"/>
          <w:numId w:val="91"/>
        </w:numPr>
        <w:rPr>
          <w:rFonts w:ascii="Arial" w:cs="Arial" w:eastAsia="Arial" w:hAnsi="Arial"/>
          <w:sz w:val="20"/>
          <w:szCs w:val="20"/>
          <w:color w:val="auto"/>
        </w:rPr>
      </w:pPr>
      <w:r>
        <w:rPr>
          <w:rFonts w:ascii="Arial" w:cs="Arial" w:eastAsia="Arial" w:hAnsi="Arial"/>
          <w:sz w:val="20"/>
          <w:szCs w:val="20"/>
          <w:color w:val="auto"/>
        </w:rPr>
        <w:t>Adjacent undrilled portions of the reservoir that can, with reasonable certainty, be judged to be continuous with it and to contain economically producible oil or gas on the basis of available geoscience and engineering data.</w:t>
      </w:r>
    </w:p>
    <w:p>
      <w:pPr>
        <w:spacing w:after="0" w:line="254" w:lineRule="exact"/>
        <w:rPr>
          <w:sz w:val="20"/>
          <w:szCs w:val="20"/>
          <w:color w:val="auto"/>
        </w:rPr>
      </w:pPr>
    </w:p>
    <w:p>
      <w:pPr>
        <w:jc w:val="both"/>
        <w:ind w:left="1840" w:right="1620" w:firstLine="2"/>
        <w:spacing w:after="0" w:line="350" w:lineRule="auto"/>
        <w:tabs>
          <w:tab w:leader="none" w:pos="2133"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w:t>
      </w:r>
    </w:p>
    <w:p>
      <w:pPr>
        <w:spacing w:after="0" w:line="169" w:lineRule="exact"/>
        <w:rPr>
          <w:rFonts w:ascii="Arial" w:cs="Arial" w:eastAsia="Arial" w:hAnsi="Arial"/>
          <w:sz w:val="18"/>
          <w:szCs w:val="18"/>
          <w:color w:val="auto"/>
        </w:rPr>
      </w:pPr>
    </w:p>
    <w:p>
      <w:pPr>
        <w:jc w:val="both"/>
        <w:ind w:left="1840" w:right="1620" w:firstLine="2"/>
        <w:spacing w:after="0" w:line="331" w:lineRule="auto"/>
        <w:tabs>
          <w:tab w:leader="none" w:pos="2194" w:val="left"/>
        </w:tabs>
        <w:numPr>
          <w:ilvl w:val="0"/>
          <w:numId w:val="92"/>
        </w:numPr>
        <w:rPr>
          <w:rFonts w:ascii="Arial" w:cs="Arial" w:eastAsia="Arial" w:hAnsi="Arial"/>
          <w:sz w:val="18"/>
          <w:szCs w:val="18"/>
          <w:color w:val="auto"/>
        </w:rPr>
      </w:pPr>
      <w:r>
        <w:rPr>
          <w:rFonts w:ascii="Arial" w:cs="Arial" w:eastAsia="Arial" w:hAnsi="Arial"/>
          <w:sz w:val="18"/>
          <w:szCs w:val="18"/>
          <w:color w:val="auto"/>
        </w:rPr>
        <w:t>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w:t>
      </w:r>
    </w:p>
    <w:p>
      <w:pPr>
        <w:spacing w:after="0" w:line="3" w:lineRule="exact"/>
        <w:rPr>
          <w:rFonts w:ascii="Arial" w:cs="Arial" w:eastAsia="Arial" w:hAnsi="Arial"/>
          <w:sz w:val="18"/>
          <w:szCs w:val="18"/>
          <w:color w:val="auto"/>
        </w:rPr>
      </w:pPr>
    </w:p>
    <w:p>
      <w:pPr>
        <w:jc w:val="both"/>
        <w:ind w:left="1840" w:right="1620" w:firstLine="2"/>
        <w:spacing w:after="0" w:line="336" w:lineRule="auto"/>
        <w:tabs>
          <w:tab w:leader="none" w:pos="2189" w:val="left"/>
        </w:tabs>
        <w:numPr>
          <w:ilvl w:val="0"/>
          <w:numId w:val="92"/>
        </w:numPr>
        <w:rPr>
          <w:rFonts w:ascii="Arial" w:cs="Arial" w:eastAsia="Arial" w:hAnsi="Arial"/>
          <w:sz w:val="19"/>
          <w:szCs w:val="19"/>
          <w:color w:val="auto"/>
        </w:rPr>
      </w:pPr>
      <w:r>
        <w:rPr>
          <w:rFonts w:ascii="Arial" w:cs="Arial" w:eastAsia="Arial" w:hAnsi="Arial"/>
          <w:sz w:val="19"/>
          <w:szCs w:val="19"/>
          <w:color w:val="auto"/>
        </w:rPr>
        <w:t>Reserves which can be produced economically through application of improved recovery techniques (including, but not limited to, fluid injection) are included in the proved classification when: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439420</wp:posOffset>
            </wp:positionV>
            <wp:extent cx="5031740"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2">
                      <a:extLst>
                        <a:ext uri="{28A0092B-C50C-407E-A947-70E740481C1C}"/>
                      </a:extLst>
                    </a:blip>
                    <a:srcRect/>
                    <a:stretch>
                      <a:fillRect/>
                    </a:stretch>
                  </pic:blipFill>
                  <pic:spPr bwMode="auto">
                    <a:xfrm>
                      <a:off x="0" y="0"/>
                      <a:ext cx="5031740" cy="25400"/>
                    </a:xfrm>
                    <a:prstGeom prst="rect">
                      <a:avLst/>
                    </a:prstGeom>
                    <a:noFill/>
                  </pic:spPr>
                </pic:pic>
              </a:graphicData>
            </a:graphic>
          </wp:anchor>
        </w:drawing>
      </w:r>
    </w:p>
    <w:p>
      <w:pPr>
        <w:sectPr>
          <w:pgSz w:w="11900" w:h="16838" w:orient="portrait"/>
          <w:cols w:equalWidth="0" w:num="1">
            <w:col w:w="9440"/>
          </w:cols>
          <w:pgMar w:left="1440" w:top="665" w:right="101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color w:val="auto"/>
        </w:rPr>
        <w:t>4</w:t>
      </w:r>
    </w:p>
    <w:p>
      <w:pPr>
        <w:spacing w:after="0" w:line="23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DeGolyer and MacNaughton</w:t>
      </w:r>
    </w:p>
    <w:p>
      <w:pPr>
        <w:spacing w:after="0" w:line="309" w:lineRule="exact"/>
        <w:rPr>
          <w:sz w:val="20"/>
          <w:szCs w:val="20"/>
          <w:color w:val="auto"/>
        </w:rPr>
      </w:pPr>
    </w:p>
    <w:p>
      <w:pPr>
        <w:jc w:val="both"/>
        <w:ind w:left="1840" w:right="1620" w:firstLine="2"/>
        <w:spacing w:after="0" w:line="376" w:lineRule="auto"/>
        <w:tabs>
          <w:tab w:leader="none" w:pos="2191" w:val="left"/>
        </w:tabs>
        <w:numPr>
          <w:ilvl w:val="0"/>
          <w:numId w:val="93"/>
        </w:numPr>
        <w:rPr>
          <w:rFonts w:ascii="Arial" w:cs="Arial" w:eastAsia="Arial" w:hAnsi="Arial"/>
          <w:sz w:val="16"/>
          <w:szCs w:val="16"/>
          <w:color w:val="auto"/>
        </w:rPr>
      </w:pPr>
      <w:r>
        <w:rPr>
          <w:rFonts w:ascii="Arial" w:cs="Arial" w:eastAsia="Arial" w:hAnsi="Arial"/>
          <w:sz w:val="16"/>
          <w:szCs w:val="16"/>
          <w:color w:val="auto"/>
        </w:rPr>
        <w:t>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w:t>
      </w:r>
    </w:p>
    <w:p>
      <w:pPr>
        <w:spacing w:after="0" w:line="3" w:lineRule="exact"/>
        <w:rPr>
          <w:rFonts w:ascii="Arial" w:cs="Arial" w:eastAsia="Arial" w:hAnsi="Arial"/>
          <w:sz w:val="16"/>
          <w:szCs w:val="16"/>
          <w:color w:val="auto"/>
        </w:rPr>
      </w:pPr>
    </w:p>
    <w:p>
      <w:pPr>
        <w:ind w:left="1840" w:right="1620" w:firstLine="2"/>
        <w:spacing w:after="0" w:line="317" w:lineRule="auto"/>
        <w:tabs>
          <w:tab w:leader="none" w:pos="2153" w:val="left"/>
        </w:tabs>
        <w:numPr>
          <w:ilvl w:val="0"/>
          <w:numId w:val="93"/>
        </w:numPr>
        <w:rPr>
          <w:rFonts w:ascii="Arial" w:cs="Arial" w:eastAsia="Arial" w:hAnsi="Arial"/>
          <w:sz w:val="20"/>
          <w:szCs w:val="20"/>
          <w:color w:val="auto"/>
        </w:rPr>
      </w:pPr>
      <w:r>
        <w:rPr>
          <w:rFonts w:ascii="Arial" w:cs="Arial" w:eastAsia="Arial" w:hAnsi="Arial"/>
          <w:sz w:val="20"/>
          <w:szCs w:val="20"/>
          <w:color w:val="auto"/>
        </w:rPr>
        <w:t>The project has been approved for development by all necessary parties and entities, including governmental entities.</w:t>
      </w:r>
    </w:p>
    <w:p>
      <w:pPr>
        <w:spacing w:after="0" w:line="256" w:lineRule="exact"/>
        <w:rPr>
          <w:sz w:val="20"/>
          <w:szCs w:val="20"/>
          <w:color w:val="auto"/>
        </w:rPr>
      </w:pPr>
    </w:p>
    <w:p>
      <w:pPr>
        <w:jc w:val="both"/>
        <w:ind w:left="1840" w:right="1620" w:firstLine="2"/>
        <w:spacing w:after="0" w:line="342" w:lineRule="auto"/>
        <w:tabs>
          <w:tab w:leader="none" w:pos="2197" w:val="left"/>
        </w:tabs>
        <w:numPr>
          <w:ilvl w:val="0"/>
          <w:numId w:val="94"/>
        </w:numPr>
        <w:rPr>
          <w:rFonts w:ascii="Arial" w:cs="Arial" w:eastAsia="Arial" w:hAnsi="Arial"/>
          <w:sz w:val="18"/>
          <w:szCs w:val="18"/>
          <w:color w:val="auto"/>
        </w:rPr>
      </w:pPr>
      <w:r>
        <w:rPr>
          <w:rFonts w:ascii="Arial" w:cs="Arial" w:eastAsia="Arial" w:hAnsi="Arial"/>
          <w:sz w:val="18"/>
          <w:szCs w:val="18"/>
          <w:color w:val="auto"/>
        </w:rPr>
        <w:t>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pacing w:after="0" w:line="230" w:lineRule="exact"/>
        <w:rPr>
          <w:sz w:val="20"/>
          <w:szCs w:val="20"/>
          <w:color w:val="auto"/>
        </w:rPr>
      </w:pPr>
    </w:p>
    <w:p>
      <w:pPr>
        <w:ind w:left="1520" w:right="1300"/>
        <w:spacing w:after="0" w:line="331" w:lineRule="auto"/>
        <w:rPr>
          <w:sz w:val="20"/>
          <w:szCs w:val="20"/>
          <w:color w:val="auto"/>
        </w:rPr>
      </w:pPr>
      <w:r>
        <w:rPr>
          <w:rFonts w:ascii="Arial" w:cs="Arial" w:eastAsia="Arial" w:hAnsi="Arial"/>
          <w:sz w:val="20"/>
          <w:szCs w:val="20"/>
          <w:i w:val="1"/>
          <w:iCs w:val="1"/>
          <w:color w:val="auto"/>
        </w:rPr>
        <w:t xml:space="preserve">Developed oil and gas reserves </w:t>
      </w:r>
      <w:r>
        <w:rPr>
          <w:rFonts w:ascii="Arial" w:cs="Arial" w:eastAsia="Arial" w:hAnsi="Arial"/>
          <w:sz w:val="20"/>
          <w:szCs w:val="20"/>
          <w:color w:val="auto"/>
        </w:rPr>
        <w:t>– Developed oil and gas reserves are reserves of</w:t>
      </w:r>
      <w:r>
        <w:rPr>
          <w:rFonts w:ascii="Arial" w:cs="Arial" w:eastAsia="Arial" w:hAnsi="Arial"/>
          <w:sz w:val="20"/>
          <w:szCs w:val="20"/>
          <w:i w:val="1"/>
          <w:iCs w:val="1"/>
          <w:color w:val="auto"/>
        </w:rPr>
        <w:t xml:space="preserve"> </w:t>
      </w:r>
      <w:r>
        <w:rPr>
          <w:rFonts w:ascii="Arial" w:cs="Arial" w:eastAsia="Arial" w:hAnsi="Arial"/>
          <w:sz w:val="20"/>
          <w:szCs w:val="20"/>
          <w:color w:val="auto"/>
        </w:rPr>
        <w:t>any category that can be expected to be recovered:</w:t>
      </w:r>
    </w:p>
    <w:p>
      <w:pPr>
        <w:spacing w:after="0" w:line="230" w:lineRule="exact"/>
        <w:rPr>
          <w:sz w:val="20"/>
          <w:szCs w:val="20"/>
          <w:color w:val="auto"/>
        </w:rPr>
      </w:pPr>
    </w:p>
    <w:p>
      <w:pPr>
        <w:jc w:val="both"/>
        <w:ind w:left="1840" w:right="1620" w:firstLine="2"/>
        <w:spacing w:after="0" w:line="313" w:lineRule="auto"/>
        <w:tabs>
          <w:tab w:leader="none" w:pos="2088" w:val="left"/>
        </w:tabs>
        <w:numPr>
          <w:ilvl w:val="0"/>
          <w:numId w:val="95"/>
        </w:numPr>
        <w:rPr>
          <w:rFonts w:ascii="Arial" w:cs="Arial" w:eastAsia="Arial" w:hAnsi="Arial"/>
          <w:sz w:val="20"/>
          <w:szCs w:val="20"/>
          <w:color w:val="auto"/>
        </w:rPr>
      </w:pPr>
      <w:r>
        <w:rPr>
          <w:rFonts w:ascii="Arial" w:cs="Arial" w:eastAsia="Arial" w:hAnsi="Arial"/>
          <w:sz w:val="20"/>
          <w:szCs w:val="20"/>
          <w:color w:val="auto"/>
        </w:rPr>
        <w:t>Through existing wells with existing equipment and operating methods or in which the cost of the required equipment is relatively minor compared to the cost of a new well; and</w:t>
      </w:r>
    </w:p>
    <w:p>
      <w:pPr>
        <w:spacing w:after="0" w:line="261" w:lineRule="exact"/>
        <w:rPr>
          <w:rFonts w:ascii="Arial" w:cs="Arial" w:eastAsia="Arial" w:hAnsi="Arial"/>
          <w:sz w:val="20"/>
          <w:szCs w:val="20"/>
          <w:color w:val="auto"/>
        </w:rPr>
      </w:pPr>
    </w:p>
    <w:p>
      <w:pPr>
        <w:jc w:val="both"/>
        <w:ind w:left="1840" w:right="1620" w:firstLine="2"/>
        <w:spacing w:after="0" w:line="306" w:lineRule="auto"/>
        <w:tabs>
          <w:tab w:leader="none" w:pos="2156" w:val="left"/>
        </w:tabs>
        <w:numPr>
          <w:ilvl w:val="0"/>
          <w:numId w:val="95"/>
        </w:numPr>
        <w:rPr>
          <w:rFonts w:ascii="Arial" w:cs="Arial" w:eastAsia="Arial" w:hAnsi="Arial"/>
          <w:sz w:val="20"/>
          <w:szCs w:val="20"/>
          <w:color w:val="auto"/>
        </w:rPr>
      </w:pPr>
      <w:r>
        <w:rPr>
          <w:rFonts w:ascii="Arial" w:cs="Arial" w:eastAsia="Arial" w:hAnsi="Arial"/>
          <w:sz w:val="20"/>
          <w:szCs w:val="20"/>
          <w:color w:val="auto"/>
        </w:rPr>
        <w:t>Through installed extraction equipment and infrastructure operational at the time of the reserves estimate if the extraction is by means not involving a well.</w:t>
      </w:r>
    </w:p>
    <w:p>
      <w:pPr>
        <w:spacing w:after="0" w:line="268" w:lineRule="exact"/>
        <w:rPr>
          <w:sz w:val="20"/>
          <w:szCs w:val="20"/>
          <w:color w:val="auto"/>
        </w:rPr>
      </w:pPr>
    </w:p>
    <w:p>
      <w:pPr>
        <w:jc w:val="both"/>
        <w:ind w:left="1520" w:right="1300"/>
        <w:spacing w:after="0" w:line="299" w:lineRule="auto"/>
        <w:rPr>
          <w:sz w:val="20"/>
          <w:szCs w:val="20"/>
          <w:color w:val="auto"/>
        </w:rPr>
      </w:pPr>
      <w:r>
        <w:rPr>
          <w:rFonts w:ascii="Arial" w:cs="Arial" w:eastAsia="Arial" w:hAnsi="Arial"/>
          <w:sz w:val="20"/>
          <w:szCs w:val="20"/>
          <w:i w:val="1"/>
          <w:iCs w:val="1"/>
          <w:color w:val="auto"/>
        </w:rPr>
        <w:t xml:space="preserve">Undeveloped oil and gas reserves – </w:t>
      </w:r>
      <w:r>
        <w:rPr>
          <w:rFonts w:ascii="Arial" w:cs="Arial" w:eastAsia="Arial" w:hAnsi="Arial"/>
          <w:sz w:val="20"/>
          <w:szCs w:val="20"/>
          <w:color w:val="auto"/>
        </w:rPr>
        <w:t>Undeveloped oil and gas reserves are reserves</w:t>
      </w:r>
      <w:r>
        <w:rPr>
          <w:rFonts w:ascii="Arial" w:cs="Arial" w:eastAsia="Arial" w:hAnsi="Arial"/>
          <w:sz w:val="20"/>
          <w:szCs w:val="20"/>
          <w:i w:val="1"/>
          <w:iCs w:val="1"/>
          <w:color w:val="auto"/>
        </w:rPr>
        <w:t xml:space="preserve"> </w:t>
      </w:r>
      <w:r>
        <w:rPr>
          <w:rFonts w:ascii="Arial" w:cs="Arial" w:eastAsia="Arial" w:hAnsi="Arial"/>
          <w:sz w:val="20"/>
          <w:szCs w:val="20"/>
          <w:color w:val="auto"/>
        </w:rPr>
        <w:t>of any category that are expected to be recovered from new wells on undrilled acreage, or from existing wells where a relatively major expenditure is required for recompletion.</w:t>
      </w:r>
    </w:p>
    <w:p>
      <w:pPr>
        <w:spacing w:after="0" w:line="1" w:lineRule="exact"/>
        <w:rPr>
          <w:sz w:val="20"/>
          <w:szCs w:val="20"/>
          <w:color w:val="auto"/>
        </w:rPr>
      </w:pPr>
    </w:p>
    <w:p>
      <w:pPr>
        <w:jc w:val="both"/>
        <w:ind w:left="1840" w:right="1620" w:firstLine="2"/>
        <w:spacing w:after="0" w:line="308" w:lineRule="auto"/>
        <w:tabs>
          <w:tab w:leader="none" w:pos="2153" w:val="left"/>
        </w:tabs>
        <w:numPr>
          <w:ilvl w:val="0"/>
          <w:numId w:val="96"/>
        </w:numPr>
        <w:rPr>
          <w:rFonts w:ascii="Arial" w:cs="Arial" w:eastAsia="Arial" w:hAnsi="Arial"/>
          <w:sz w:val="20"/>
          <w:szCs w:val="20"/>
          <w:color w:val="auto"/>
        </w:rPr>
      </w:pPr>
      <w:r>
        <w:rPr>
          <w:rFonts w:ascii="Arial" w:cs="Arial" w:eastAsia="Arial" w:hAnsi="Arial"/>
          <w:sz w:val="20"/>
          <w:szCs w:val="20"/>
          <w:color w:val="auto"/>
        </w:rPr>
        <w:t>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633730</wp:posOffset>
            </wp:positionV>
            <wp:extent cx="5031740"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3">
                      <a:extLst>
                        <a:ext uri="{28A0092B-C50C-407E-A947-70E740481C1C}"/>
                      </a:extLst>
                    </a:blip>
                    <a:srcRect/>
                    <a:stretch>
                      <a:fillRect/>
                    </a:stretch>
                  </pic:blipFill>
                  <pic:spPr bwMode="auto">
                    <a:xfrm>
                      <a:off x="0" y="0"/>
                      <a:ext cx="5031740" cy="25400"/>
                    </a:xfrm>
                    <a:prstGeom prst="rect">
                      <a:avLst/>
                    </a:prstGeom>
                    <a:noFill/>
                  </pic:spPr>
                </pic:pic>
              </a:graphicData>
            </a:graphic>
          </wp:anchor>
        </w:drawing>
      </w:r>
    </w:p>
    <w:p>
      <w:pPr>
        <w:sectPr>
          <w:pgSz w:w="11900" w:h="16838" w:orient="portrait"/>
          <w:cols w:equalWidth="0" w:num="1">
            <w:col w:w="9440"/>
          </w:cols>
          <w:pgMar w:left="1440" w:top="665" w:right="101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color w:val="auto"/>
        </w:rPr>
        <w:t>5</w:t>
      </w:r>
    </w:p>
    <w:p>
      <w:pPr>
        <w:spacing w:after="0" w:line="23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DeGolyer and MacNaughton</w:t>
      </w:r>
    </w:p>
    <w:p>
      <w:pPr>
        <w:spacing w:after="0" w:line="309" w:lineRule="exact"/>
        <w:rPr>
          <w:sz w:val="20"/>
          <w:szCs w:val="20"/>
          <w:color w:val="auto"/>
        </w:rPr>
      </w:pPr>
    </w:p>
    <w:p>
      <w:pPr>
        <w:jc w:val="both"/>
        <w:ind w:left="1840" w:right="1620" w:firstLine="2"/>
        <w:spacing w:after="0" w:line="307" w:lineRule="auto"/>
        <w:tabs>
          <w:tab w:leader="none" w:pos="2158" w:val="left"/>
        </w:tabs>
        <w:numPr>
          <w:ilvl w:val="0"/>
          <w:numId w:val="97"/>
        </w:numPr>
        <w:rPr>
          <w:rFonts w:ascii="Arial" w:cs="Arial" w:eastAsia="Arial" w:hAnsi="Arial"/>
          <w:sz w:val="20"/>
          <w:szCs w:val="20"/>
          <w:color w:val="auto"/>
        </w:rPr>
      </w:pPr>
      <w:r>
        <w:rPr>
          <w:rFonts w:ascii="Arial" w:cs="Arial" w:eastAsia="Arial" w:hAnsi="Arial"/>
          <w:sz w:val="20"/>
          <w:szCs w:val="20"/>
          <w:color w:val="auto"/>
        </w:rPr>
        <w:t>Undrilled locations can be classified as having undeveloped reserves only if a development plan has been adopted indicating that they are scheduled to be drilled within five years, unless the specific circumstances justify a longer time.</w:t>
      </w:r>
    </w:p>
    <w:p>
      <w:pPr>
        <w:spacing w:after="0" w:line="267" w:lineRule="exact"/>
        <w:rPr>
          <w:rFonts w:ascii="Arial" w:cs="Arial" w:eastAsia="Arial" w:hAnsi="Arial"/>
          <w:sz w:val="20"/>
          <w:szCs w:val="20"/>
          <w:color w:val="auto"/>
        </w:rPr>
      </w:pPr>
    </w:p>
    <w:p>
      <w:pPr>
        <w:jc w:val="both"/>
        <w:ind w:left="1840" w:right="1620" w:firstLine="2"/>
        <w:spacing w:after="0" w:line="390" w:lineRule="auto"/>
        <w:tabs>
          <w:tab w:leader="none" w:pos="2213" w:val="left"/>
        </w:tabs>
        <w:numPr>
          <w:ilvl w:val="0"/>
          <w:numId w:val="97"/>
        </w:numPr>
        <w:rPr>
          <w:rFonts w:ascii="Arial" w:cs="Arial" w:eastAsia="Arial" w:hAnsi="Arial"/>
          <w:sz w:val="16"/>
          <w:szCs w:val="16"/>
          <w:color w:val="auto"/>
        </w:rPr>
      </w:pPr>
      <w:r>
        <w:rPr>
          <w:rFonts w:ascii="Arial" w:cs="Arial" w:eastAsia="Arial" w:hAnsi="Arial"/>
          <w:sz w:val="16"/>
          <w:szCs w:val="16"/>
          <w:color w:val="auto"/>
        </w:rPr>
        <w:t>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[section 210.4–10 (a) Definitions], or by other evidence using reliable technology establishing reasonable certainty.</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0"/>
          <w:szCs w:val="20"/>
          <w:b w:val="1"/>
          <w:bCs w:val="1"/>
          <w:u w:val="single" w:color="auto"/>
          <w:color w:val="auto"/>
        </w:rPr>
        <w:t>Methodology and Procedures</w:t>
      </w:r>
    </w:p>
    <w:p>
      <w:pPr>
        <w:spacing w:after="0" w:line="357" w:lineRule="exact"/>
        <w:rPr>
          <w:sz w:val="20"/>
          <w:szCs w:val="20"/>
          <w:color w:val="auto"/>
        </w:rPr>
      </w:pPr>
    </w:p>
    <w:p>
      <w:pPr>
        <w:jc w:val="both"/>
        <w:ind w:left="880" w:right="640" w:firstLine="648"/>
        <w:spacing w:after="0" w:line="338" w:lineRule="auto"/>
        <w:rPr>
          <w:sz w:val="20"/>
          <w:szCs w:val="20"/>
          <w:color w:val="auto"/>
        </w:rPr>
      </w:pPr>
      <w:r>
        <w:rPr>
          <w:rFonts w:ascii="Arial" w:cs="Arial" w:eastAsia="Arial" w:hAnsi="Arial"/>
          <w:sz w:val="18"/>
          <w:szCs w:val="18"/>
          <w:color w:val="auto"/>
        </w:rPr>
        <w:t>Estimates of reserves were prepared by the use of appropriate geologic, petroleum engineering, and evaluation principles and techniques that are in accordance with the reserves definition of Rules 4–10(a) (1)–(32) of Regulation S–X of the SEC and with practices generally recognized by the petroleum industry as presented in the publication of the Society of Petroleum Engineers entitled “Standards Pertaining to the Estimating and Auditing of Oil and Gas Reserves Information (revised June 2019) Approved by the SPE Board on 25 June 2019” and in Monograph 3 and Monograph 4 published by the Society of Petroleum Evaluation Engineers. The method or combination of methods used in the analysis was tempered by experience with similar reservoirs, stage of development, quality and completeness of basic data, and production history.</w:t>
      </w:r>
    </w:p>
    <w:p>
      <w:pPr>
        <w:spacing w:after="0" w:line="252" w:lineRule="exact"/>
        <w:rPr>
          <w:sz w:val="20"/>
          <w:szCs w:val="20"/>
          <w:color w:val="auto"/>
        </w:rPr>
      </w:pPr>
    </w:p>
    <w:p>
      <w:pPr>
        <w:jc w:val="both"/>
        <w:ind w:left="880" w:right="660" w:firstLine="648"/>
        <w:spacing w:after="0" w:line="300" w:lineRule="auto"/>
        <w:rPr>
          <w:sz w:val="20"/>
          <w:szCs w:val="20"/>
          <w:color w:val="auto"/>
        </w:rPr>
      </w:pPr>
      <w:r>
        <w:rPr>
          <w:rFonts w:ascii="Arial" w:cs="Arial" w:eastAsia="Arial" w:hAnsi="Arial"/>
          <w:sz w:val="20"/>
          <w:szCs w:val="20"/>
          <w:color w:val="auto"/>
        </w:rPr>
        <w:t>Based on the current stage of field development, production performance, the development plans provided by Evolution, and analysis of areas offsetting existing wells with test or production data, reserves were classified as proved.</w:t>
      </w:r>
    </w:p>
    <w:p>
      <w:pPr>
        <w:spacing w:after="0" w:line="2" w:lineRule="exact"/>
        <w:rPr>
          <w:sz w:val="20"/>
          <w:szCs w:val="20"/>
          <w:color w:val="auto"/>
        </w:rPr>
      </w:pPr>
    </w:p>
    <w:p>
      <w:pPr>
        <w:jc w:val="both"/>
        <w:ind w:left="880" w:right="660" w:firstLine="648"/>
        <w:spacing w:after="0" w:line="317" w:lineRule="auto"/>
        <w:rPr>
          <w:sz w:val="20"/>
          <w:szCs w:val="20"/>
          <w:color w:val="auto"/>
        </w:rPr>
      </w:pPr>
      <w:r>
        <w:rPr>
          <w:rFonts w:ascii="Arial" w:cs="Arial" w:eastAsia="Arial" w:hAnsi="Arial"/>
          <w:sz w:val="20"/>
          <w:szCs w:val="20"/>
          <w:color w:val="auto"/>
        </w:rPr>
        <w:t>The proved undeveloped reserves estimates were based on opportunities identified in the plan of development provided by Evolution.</w:t>
      </w:r>
    </w:p>
    <w:p>
      <w:pPr>
        <w:spacing w:after="0" w:line="256" w:lineRule="exact"/>
        <w:rPr>
          <w:sz w:val="20"/>
          <w:szCs w:val="20"/>
          <w:color w:val="auto"/>
        </w:rPr>
      </w:pPr>
    </w:p>
    <w:p>
      <w:pPr>
        <w:jc w:val="both"/>
        <w:ind w:left="880" w:right="640" w:firstLine="648"/>
        <w:spacing w:after="0" w:line="421" w:lineRule="auto"/>
        <w:rPr>
          <w:sz w:val="20"/>
          <w:szCs w:val="20"/>
          <w:color w:val="auto"/>
        </w:rPr>
      </w:pPr>
      <w:r>
        <w:rPr>
          <w:rFonts w:ascii="Arial" w:cs="Arial" w:eastAsia="Arial" w:hAnsi="Arial"/>
          <w:sz w:val="16"/>
          <w:szCs w:val="16"/>
          <w:color w:val="auto"/>
        </w:rPr>
        <w:t>Evolution has represented that its senior management is committed to the development plan provided by Evolution and that Evolution has the financial capability to execute the development plan, including the drilling and completion of wells and the installation of equipment and facilities.</w:t>
      </w:r>
    </w:p>
    <w:p>
      <w:pPr>
        <w:spacing w:after="0" w:line="179" w:lineRule="exact"/>
        <w:rPr>
          <w:sz w:val="20"/>
          <w:szCs w:val="20"/>
          <w:color w:val="auto"/>
        </w:rPr>
      </w:pPr>
    </w:p>
    <w:p>
      <w:pPr>
        <w:jc w:val="both"/>
        <w:ind w:left="880" w:right="640" w:firstLine="648"/>
        <w:spacing w:after="0" w:line="361" w:lineRule="auto"/>
        <w:rPr>
          <w:sz w:val="20"/>
          <w:szCs w:val="20"/>
          <w:color w:val="auto"/>
        </w:rPr>
      </w:pPr>
      <w:r>
        <w:rPr>
          <w:rFonts w:ascii="Arial" w:cs="Arial" w:eastAsia="Arial" w:hAnsi="Arial"/>
          <w:sz w:val="19"/>
          <w:szCs w:val="19"/>
          <w:color w:val="auto"/>
        </w:rPr>
        <w:t>When applicable, the volumetric method was used to estimate the original oil in place (OOIP). Structure maps were prepared to delineate each reservoir, and isopach maps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424815</wp:posOffset>
            </wp:positionV>
            <wp:extent cx="5031740"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4">
                      <a:extLst>
                        <a:ext uri="{28A0092B-C50C-407E-A947-70E740481C1C}"/>
                      </a:extLst>
                    </a:blip>
                    <a:srcRect/>
                    <a:stretch>
                      <a:fillRect/>
                    </a:stretch>
                  </pic:blipFill>
                  <pic:spPr bwMode="auto">
                    <a:xfrm>
                      <a:off x="0" y="0"/>
                      <a:ext cx="5031740" cy="26035"/>
                    </a:xfrm>
                    <a:prstGeom prst="rect">
                      <a:avLst/>
                    </a:prstGeom>
                    <a:noFill/>
                  </pic:spPr>
                </pic:pic>
              </a:graphicData>
            </a:graphic>
          </wp:anchor>
        </w:drawing>
      </w:r>
    </w:p>
    <w:p>
      <w:pPr>
        <w:sectPr>
          <w:pgSz w:w="11900" w:h="16838" w:orient="portrait"/>
          <w:cols w:equalWidth="0" w:num="1">
            <w:col w:w="9440"/>
          </w:cols>
          <w:pgMar w:left="1440" w:top="665" w:right="101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color w:val="auto"/>
        </w:rPr>
        <w:t>6</w:t>
      </w:r>
    </w:p>
    <w:p>
      <w:pPr>
        <w:spacing w:after="0" w:line="23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DeGolyer and MacNaughton</w:t>
      </w:r>
    </w:p>
    <w:p>
      <w:pPr>
        <w:spacing w:after="0" w:line="309" w:lineRule="exact"/>
        <w:rPr>
          <w:sz w:val="20"/>
          <w:szCs w:val="20"/>
          <w:color w:val="auto"/>
        </w:rPr>
      </w:pPr>
    </w:p>
    <w:p>
      <w:pPr>
        <w:jc w:val="both"/>
        <w:ind w:left="880" w:right="640"/>
        <w:spacing w:after="0" w:line="313" w:lineRule="auto"/>
        <w:rPr>
          <w:sz w:val="20"/>
          <w:szCs w:val="20"/>
          <w:color w:val="auto"/>
        </w:rPr>
      </w:pPr>
      <w:r>
        <w:rPr>
          <w:rFonts w:ascii="Arial" w:cs="Arial" w:eastAsia="Arial" w:hAnsi="Arial"/>
          <w:sz w:val="20"/>
          <w:szCs w:val="20"/>
          <w:color w:val="auto"/>
        </w:rPr>
        <w:t>constructed to estimate reservoir volume. Electrical logs, radioactivity logs, core analyses, and other available data were used to prepare these maps as well as to estimate representative values for porosity and water saturation.</w:t>
      </w:r>
    </w:p>
    <w:p>
      <w:pPr>
        <w:spacing w:after="0" w:line="261" w:lineRule="exact"/>
        <w:rPr>
          <w:sz w:val="20"/>
          <w:szCs w:val="20"/>
          <w:color w:val="auto"/>
        </w:rPr>
      </w:pPr>
    </w:p>
    <w:p>
      <w:pPr>
        <w:jc w:val="both"/>
        <w:ind w:left="880" w:right="640" w:firstLine="648"/>
        <w:spacing w:after="0" w:line="301" w:lineRule="auto"/>
        <w:rPr>
          <w:sz w:val="20"/>
          <w:szCs w:val="20"/>
          <w:color w:val="auto"/>
        </w:rPr>
      </w:pPr>
      <w:r>
        <w:rPr>
          <w:rFonts w:ascii="Arial" w:cs="Arial" w:eastAsia="Arial" w:hAnsi="Arial"/>
          <w:sz w:val="20"/>
          <w:szCs w:val="20"/>
          <w:color w:val="auto"/>
        </w:rPr>
        <w:t>Estimates of ultimate recovery were obtained after applying recovery factors to OOIP. These recovery factors were based on consideration of the type of energy inherent in the reservoirs, analyses of the petroleum, the structural positions of the properties, and the production histories. Certain properties evaluated herein are produced using enhanced oil recovery methods involving continuous carbon dioxide flooding operations. Therefore, carbon dioxide versus oil ratios and carbon dioxide injection volumes were analyzed and projected and were used in the estimation of reserves when applicable.</w:t>
      </w:r>
    </w:p>
    <w:p>
      <w:pPr>
        <w:spacing w:after="0" w:line="276" w:lineRule="exact"/>
        <w:rPr>
          <w:sz w:val="20"/>
          <w:szCs w:val="20"/>
          <w:color w:val="auto"/>
        </w:rPr>
      </w:pPr>
    </w:p>
    <w:p>
      <w:pPr>
        <w:jc w:val="both"/>
        <w:ind w:left="880" w:right="640" w:firstLine="648"/>
        <w:spacing w:after="0" w:line="323" w:lineRule="auto"/>
        <w:rPr>
          <w:sz w:val="20"/>
          <w:szCs w:val="20"/>
          <w:color w:val="auto"/>
        </w:rPr>
      </w:pPr>
      <w:r>
        <w:rPr>
          <w:rFonts w:ascii="Arial" w:cs="Arial" w:eastAsia="Arial" w:hAnsi="Arial"/>
          <w:sz w:val="19"/>
          <w:szCs w:val="19"/>
          <w:color w:val="auto"/>
        </w:rPr>
        <w:t>For depletion-type reservoirs or those whose performance disclosed a reliable decline in producing-rate trends or other diagnostic characteristics, reserves were estimated by the application of appropriate decline curves or other performance relationships. In the analyses of production-decline curves, reserves were estimated only to the limits of economic production as defined under the Definition of Reserves heading of this report.</w:t>
      </w:r>
    </w:p>
    <w:p>
      <w:pPr>
        <w:spacing w:after="0" w:line="258" w:lineRule="exact"/>
        <w:rPr>
          <w:sz w:val="20"/>
          <w:szCs w:val="20"/>
          <w:color w:val="auto"/>
        </w:rPr>
      </w:pPr>
    </w:p>
    <w:p>
      <w:pPr>
        <w:jc w:val="both"/>
        <w:ind w:left="880" w:right="640" w:firstLine="648"/>
        <w:spacing w:after="0" w:line="305" w:lineRule="auto"/>
        <w:rPr>
          <w:sz w:val="20"/>
          <w:szCs w:val="20"/>
          <w:color w:val="auto"/>
        </w:rPr>
      </w:pPr>
      <w:r>
        <w:rPr>
          <w:rFonts w:ascii="Arial" w:cs="Arial" w:eastAsia="Arial" w:hAnsi="Arial"/>
          <w:sz w:val="20"/>
          <w:szCs w:val="20"/>
          <w:color w:val="auto"/>
        </w:rPr>
        <w:t>For the evaluation of unconventional reservoirs, a performance-based methodology integrating the appropriate geology and petroleum engineering data was utilized for this report. Performance-based methodology primarily includes (1) production diagnostics, (2) decline-curve analysis, and (3) model-based analysis (if necessary, based on availability of data). Production diagnostics include data quality control, identification of flow regimes, and characteristic well performance behavior.</w:t>
      </w:r>
    </w:p>
    <w:p>
      <w:pPr>
        <w:spacing w:after="0" w:line="258" w:lineRule="exact"/>
        <w:rPr>
          <w:sz w:val="20"/>
          <w:szCs w:val="20"/>
          <w:color w:val="auto"/>
        </w:rPr>
      </w:pPr>
    </w:p>
    <w:p>
      <w:pPr>
        <w:jc w:val="both"/>
        <w:ind w:left="880" w:right="640" w:firstLine="648"/>
        <w:spacing w:after="0" w:line="349" w:lineRule="auto"/>
        <w:rPr>
          <w:sz w:val="20"/>
          <w:szCs w:val="20"/>
          <w:color w:val="auto"/>
        </w:rPr>
      </w:pPr>
      <w:r>
        <w:rPr>
          <w:rFonts w:ascii="Arial" w:cs="Arial" w:eastAsia="Arial" w:hAnsi="Arial"/>
          <w:sz w:val="18"/>
          <w:szCs w:val="18"/>
          <w:color w:val="auto"/>
        </w:rPr>
        <w:t>Characteristic rate-decline profiles from diagnostic interpretation were translated to modified hyperbolic rate profiles, including one or multiple b-exponent values followed by an exponential decline. Based on the availability of data, model-based analysis may be integrated to evaluate long-term decline behavior, the effect of dynamic reservoir and fracture parameters on well performance, and complex situations sourced by the nature of unconventional reservoirs.</w:t>
      </w:r>
    </w:p>
    <w:p>
      <w:pPr>
        <w:spacing w:after="0" w:line="223" w:lineRule="exact"/>
        <w:rPr>
          <w:sz w:val="20"/>
          <w:szCs w:val="20"/>
          <w:color w:val="auto"/>
        </w:rPr>
      </w:pPr>
    </w:p>
    <w:p>
      <w:pPr>
        <w:jc w:val="both"/>
        <w:ind w:left="880" w:right="660" w:firstLine="648"/>
        <w:spacing w:after="0" w:line="331" w:lineRule="auto"/>
        <w:rPr>
          <w:sz w:val="20"/>
          <w:szCs w:val="20"/>
          <w:color w:val="auto"/>
        </w:rPr>
      </w:pPr>
      <w:r>
        <w:rPr>
          <w:rFonts w:ascii="Arial" w:cs="Arial" w:eastAsia="Arial" w:hAnsi="Arial"/>
          <w:sz w:val="20"/>
          <w:szCs w:val="20"/>
          <w:color w:val="auto"/>
        </w:rPr>
        <w:t>In certain cases, reserves were estimated by incorporating elements of analogy with similar wells or reservoirs for which more complete data were available.</w:t>
      </w:r>
    </w:p>
    <w:p>
      <w:pPr>
        <w:spacing w:after="0" w:line="230" w:lineRule="exact"/>
        <w:rPr>
          <w:sz w:val="20"/>
          <w:szCs w:val="20"/>
          <w:color w:val="auto"/>
        </w:rPr>
      </w:pPr>
    </w:p>
    <w:p>
      <w:pPr>
        <w:jc w:val="both"/>
        <w:ind w:left="880" w:right="640" w:firstLine="648"/>
        <w:spacing w:after="0" w:line="328" w:lineRule="auto"/>
        <w:rPr>
          <w:sz w:val="20"/>
          <w:szCs w:val="20"/>
          <w:color w:val="auto"/>
        </w:rPr>
      </w:pPr>
      <w:r>
        <w:rPr>
          <w:rFonts w:ascii="Arial" w:cs="Arial" w:eastAsia="Arial" w:hAnsi="Arial"/>
          <w:sz w:val="19"/>
          <w:szCs w:val="19"/>
          <w:color w:val="auto"/>
        </w:rPr>
        <w:t>Data provided by Evolution from wells drilled through June 30, 2023, and made available for this evaluation were used to prepare the reserves estimates herein. These reserves estimates were based on consideration of monthly production data available for certain properties only through March 31, 2023. Estimated cumulative production, as of June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452120</wp:posOffset>
            </wp:positionV>
            <wp:extent cx="503174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5">
                      <a:extLst>
                        <a:ext uri="{28A0092B-C50C-407E-A947-70E740481C1C}"/>
                      </a:extLst>
                    </a:blip>
                    <a:srcRect/>
                    <a:stretch>
                      <a:fillRect/>
                    </a:stretch>
                  </pic:blipFill>
                  <pic:spPr bwMode="auto">
                    <a:xfrm>
                      <a:off x="0" y="0"/>
                      <a:ext cx="5031740" cy="17145"/>
                    </a:xfrm>
                    <a:prstGeom prst="rect">
                      <a:avLst/>
                    </a:prstGeom>
                    <a:noFill/>
                  </pic:spPr>
                </pic:pic>
              </a:graphicData>
            </a:graphic>
          </wp:anchor>
        </w:drawing>
      </w:r>
    </w:p>
    <w:p>
      <w:pPr>
        <w:sectPr>
          <w:pgSz w:w="11900" w:h="16838" w:orient="portrait"/>
          <w:cols w:equalWidth="0" w:num="1">
            <w:col w:w="9440"/>
          </w:cols>
          <w:pgMar w:left="1440" w:top="665" w:right="101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color w:val="auto"/>
        </w:rPr>
        <w:t>7</w:t>
      </w:r>
    </w:p>
    <w:p>
      <w:pPr>
        <w:spacing w:after="0" w:line="23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DeGolyer and MacNaughton</w:t>
      </w:r>
    </w:p>
    <w:p>
      <w:pPr>
        <w:spacing w:after="0" w:line="309" w:lineRule="exact"/>
        <w:rPr>
          <w:sz w:val="20"/>
          <w:szCs w:val="20"/>
          <w:color w:val="auto"/>
        </w:rPr>
      </w:pPr>
    </w:p>
    <w:p>
      <w:pPr>
        <w:jc w:val="both"/>
        <w:ind w:left="880" w:right="640"/>
        <w:spacing w:after="0" w:line="331" w:lineRule="auto"/>
        <w:rPr>
          <w:sz w:val="20"/>
          <w:szCs w:val="20"/>
          <w:color w:val="auto"/>
        </w:rPr>
      </w:pPr>
      <w:r>
        <w:rPr>
          <w:rFonts w:ascii="Arial" w:cs="Arial" w:eastAsia="Arial" w:hAnsi="Arial"/>
          <w:sz w:val="20"/>
          <w:szCs w:val="20"/>
          <w:color w:val="auto"/>
        </w:rPr>
        <w:t>30, 2023, was deducted from the estimated gross ultimate recovery to estimate gross reserves. This required that production be estimated for up to 3 months.</w:t>
      </w:r>
    </w:p>
    <w:p>
      <w:pPr>
        <w:spacing w:after="0" w:line="230" w:lineRule="exact"/>
        <w:rPr>
          <w:sz w:val="20"/>
          <w:szCs w:val="20"/>
          <w:color w:val="auto"/>
        </w:rPr>
      </w:pPr>
    </w:p>
    <w:p>
      <w:pPr>
        <w:jc w:val="both"/>
        <w:ind w:left="880" w:right="640" w:firstLine="648"/>
        <w:spacing w:after="0" w:line="274" w:lineRule="auto"/>
        <w:rPr>
          <w:sz w:val="20"/>
          <w:szCs w:val="20"/>
          <w:color w:val="auto"/>
        </w:rPr>
      </w:pPr>
      <w:r>
        <w:rPr>
          <w:rFonts w:ascii="Arial" w:cs="Arial" w:eastAsia="Arial" w:hAnsi="Arial"/>
          <w:sz w:val="19"/>
          <w:szCs w:val="19"/>
          <w:color w:val="auto"/>
        </w:rPr>
        <w:t>Oil and condensate reserves estimated herein are to be recovered by normal field separation. NGL reserves estimated herein include pentanes and heavier fractions (C</w:t>
      </w:r>
      <w:r>
        <w:rPr>
          <w:rFonts w:ascii="Arial" w:cs="Arial" w:eastAsia="Arial" w:hAnsi="Arial"/>
          <w:sz w:val="28"/>
          <w:szCs w:val="28"/>
          <w:color w:val="auto"/>
          <w:vertAlign w:val="subscript"/>
        </w:rPr>
        <w:t>5+</w:t>
      </w:r>
      <w:r>
        <w:rPr>
          <w:rFonts w:ascii="Arial" w:cs="Arial" w:eastAsia="Arial" w:hAnsi="Arial"/>
          <w:sz w:val="19"/>
          <w:szCs w:val="19"/>
          <w:color w:val="auto"/>
        </w:rPr>
        <w:t>) and</w:t>
      </w:r>
    </w:p>
    <w:p>
      <w:pPr>
        <w:spacing w:after="0" w:line="31" w:lineRule="exact"/>
        <w:rPr>
          <w:sz w:val="20"/>
          <w:szCs w:val="20"/>
          <w:color w:val="auto"/>
        </w:rPr>
      </w:pPr>
    </w:p>
    <w:p>
      <w:pPr>
        <w:jc w:val="both"/>
        <w:ind w:left="880" w:right="640"/>
        <w:spacing w:after="0" w:line="323" w:lineRule="auto"/>
        <w:rPr>
          <w:sz w:val="20"/>
          <w:szCs w:val="20"/>
          <w:color w:val="auto"/>
        </w:rPr>
      </w:pPr>
      <w:r>
        <w:rPr>
          <w:rFonts w:ascii="Arial" w:cs="Arial" w:eastAsia="Arial" w:hAnsi="Arial"/>
          <w:sz w:val="19"/>
          <w:szCs w:val="19"/>
          <w:color w:val="auto"/>
        </w:rPr>
        <w:t>liquefied petroleum gas (LPG), which consists primarily of propane and butane fractions and are the result of low-temperature plant processing. Oil, condensate, and NGL reserves included in this report are expressed in thousands of barrels (Mbbl). In these estimates, 1 barrel equals 42 United States gallons. For reporting purposes, oil and condensate reserves have been estimated separately and are presented herein as a summed quantity.</w:t>
      </w:r>
    </w:p>
    <w:p>
      <w:pPr>
        <w:spacing w:after="0" w:line="258" w:lineRule="exact"/>
        <w:rPr>
          <w:sz w:val="20"/>
          <w:szCs w:val="20"/>
          <w:color w:val="auto"/>
        </w:rPr>
      </w:pPr>
    </w:p>
    <w:p>
      <w:pPr>
        <w:jc w:val="both"/>
        <w:ind w:left="880" w:right="640" w:firstLine="648"/>
        <w:spacing w:after="0" w:line="341" w:lineRule="auto"/>
        <w:rPr>
          <w:sz w:val="20"/>
          <w:szCs w:val="20"/>
          <w:color w:val="auto"/>
        </w:rPr>
      </w:pPr>
      <w:r>
        <w:rPr>
          <w:rFonts w:ascii="Arial" w:cs="Arial" w:eastAsia="Arial" w:hAnsi="Arial"/>
          <w:sz w:val="18"/>
          <w:szCs w:val="18"/>
          <w:color w:val="auto"/>
        </w:rPr>
        <w:t>Gas quantities estimated herein are expressed as sales gas. Sales gas is defined as the total gas to be produced from the reservoirs, measured at the point of delivery, after reduction for fuel usage, flare, and shrinkage resulting from field separation and processing. Gas reserves estimated herein are reported as sales gas. Gas quantities are expressed at a temperature base of 60 degrees Fahrenheit (°F) and at the pressure base of the state in which the quantities are located. Gas quantities included in this report are expressed in millions of cubic feet (MMcf).</w:t>
      </w:r>
    </w:p>
    <w:p>
      <w:pPr>
        <w:spacing w:after="0" w:line="247" w:lineRule="exact"/>
        <w:rPr>
          <w:sz w:val="20"/>
          <w:szCs w:val="20"/>
          <w:color w:val="auto"/>
        </w:rPr>
      </w:pPr>
    </w:p>
    <w:p>
      <w:pPr>
        <w:jc w:val="both"/>
        <w:ind w:left="880" w:right="640" w:firstLine="648"/>
        <w:spacing w:after="0" w:line="305" w:lineRule="auto"/>
        <w:rPr>
          <w:sz w:val="20"/>
          <w:szCs w:val="20"/>
          <w:color w:val="auto"/>
        </w:rPr>
      </w:pPr>
      <w:r>
        <w:rPr>
          <w:rFonts w:ascii="Arial" w:cs="Arial" w:eastAsia="Arial" w:hAnsi="Arial"/>
          <w:sz w:val="20"/>
          <w:szCs w:val="20"/>
          <w:color w:val="auto"/>
        </w:rPr>
        <w:t>Gas quantities are identified by the type of reservoir from which the gas will be produced. Nonassociated gas is gas at initial reservoir conditions with no oil present in the reservoir. Associated gas is both gas-cap gas and solution gas. Gas-cap gas is gas at initial reservoir conditions and is in communication with an underlying oil zone. Solution gas is gas dissolved in oil at initial reservoir conditions. Gas quantities estimated herein include both associated and nonassociated gas.</w:t>
      </w:r>
    </w:p>
    <w:p>
      <w:pPr>
        <w:spacing w:after="0" w:line="252" w:lineRule="exact"/>
        <w:rPr>
          <w:sz w:val="20"/>
          <w:szCs w:val="20"/>
          <w:color w:val="auto"/>
        </w:rPr>
      </w:pPr>
    </w:p>
    <w:p>
      <w:pPr>
        <w:ind w:left="880"/>
        <w:spacing w:after="0"/>
        <w:rPr>
          <w:sz w:val="20"/>
          <w:szCs w:val="20"/>
          <w:color w:val="auto"/>
        </w:rPr>
      </w:pPr>
      <w:r>
        <w:rPr>
          <w:rFonts w:ascii="Arial" w:cs="Arial" w:eastAsia="Arial" w:hAnsi="Arial"/>
          <w:sz w:val="20"/>
          <w:szCs w:val="20"/>
          <w:b w:val="1"/>
          <w:bCs w:val="1"/>
          <w:u w:val="single" w:color="auto"/>
          <w:color w:val="auto"/>
        </w:rPr>
        <w:t>Primary Economic Assumptions</w:t>
      </w:r>
    </w:p>
    <w:p>
      <w:pPr>
        <w:spacing w:after="0" w:line="357" w:lineRule="exact"/>
        <w:rPr>
          <w:sz w:val="20"/>
          <w:szCs w:val="20"/>
          <w:color w:val="auto"/>
        </w:rPr>
      </w:pPr>
    </w:p>
    <w:p>
      <w:pPr>
        <w:jc w:val="both"/>
        <w:ind w:left="880" w:right="640" w:firstLine="648"/>
        <w:spacing w:after="0" w:line="307" w:lineRule="auto"/>
        <w:rPr>
          <w:sz w:val="20"/>
          <w:szCs w:val="20"/>
          <w:color w:val="auto"/>
        </w:rPr>
      </w:pPr>
      <w:r>
        <w:rPr>
          <w:rFonts w:ascii="Arial" w:cs="Arial" w:eastAsia="Arial" w:hAnsi="Arial"/>
          <w:sz w:val="20"/>
          <w:szCs w:val="20"/>
          <w:color w:val="auto"/>
        </w:rPr>
        <w:t>Revenue values in this report were estimated using initial prices, expenses, and costs provided by Evolution. Future prices were estimated using guidelines established by the SEC and the Financial Accounting Standards Board (FASB). The following economic assumptions were used for estimating the revenue values reported herein:</w:t>
      </w:r>
    </w:p>
    <w:p>
      <w:pPr>
        <w:spacing w:after="0" w:line="268" w:lineRule="exact"/>
        <w:rPr>
          <w:sz w:val="20"/>
          <w:szCs w:val="20"/>
          <w:color w:val="auto"/>
        </w:rPr>
      </w:pPr>
    </w:p>
    <w:p>
      <w:pPr>
        <w:ind w:left="1520"/>
        <w:spacing w:after="0"/>
        <w:rPr>
          <w:sz w:val="20"/>
          <w:szCs w:val="20"/>
          <w:color w:val="auto"/>
        </w:rPr>
      </w:pPr>
      <w:r>
        <w:rPr>
          <w:rFonts w:ascii="Arial" w:cs="Arial" w:eastAsia="Arial" w:hAnsi="Arial"/>
          <w:sz w:val="20"/>
          <w:szCs w:val="20"/>
          <w:i w:val="1"/>
          <w:iCs w:val="1"/>
          <w:color w:val="auto"/>
        </w:rPr>
        <w:t>Oil, Condensate, and NGL Prices</w:t>
      </w:r>
    </w:p>
    <w:p>
      <w:pPr>
        <w:spacing w:after="0" w:line="337" w:lineRule="exact"/>
        <w:rPr>
          <w:sz w:val="20"/>
          <w:szCs w:val="20"/>
          <w:color w:val="auto"/>
        </w:rPr>
      </w:pPr>
    </w:p>
    <w:p>
      <w:pPr>
        <w:jc w:val="both"/>
        <w:ind w:left="1840" w:right="1620"/>
        <w:spacing w:after="0" w:line="328" w:lineRule="auto"/>
        <w:rPr>
          <w:sz w:val="20"/>
          <w:szCs w:val="20"/>
          <w:color w:val="auto"/>
        </w:rPr>
      </w:pPr>
      <w:r>
        <w:rPr>
          <w:rFonts w:ascii="Arial" w:cs="Arial" w:eastAsia="Arial" w:hAnsi="Arial"/>
          <w:sz w:val="19"/>
          <w:szCs w:val="19"/>
          <w:color w:val="auto"/>
        </w:rPr>
        <w:t>Evolution has represented that the oil, condensate, and NGL prices were based on a reference price, calculated as the unweighted arithmetic average of the first-day-of-the-month price for each month within the 12-month period prior to the end of the reporting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452120</wp:posOffset>
            </wp:positionV>
            <wp:extent cx="503174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6">
                      <a:extLst>
                        <a:ext uri="{28A0092B-C50C-407E-A947-70E740481C1C}"/>
                      </a:extLst>
                    </a:blip>
                    <a:srcRect/>
                    <a:stretch>
                      <a:fillRect/>
                    </a:stretch>
                  </pic:blipFill>
                  <pic:spPr bwMode="auto">
                    <a:xfrm>
                      <a:off x="0" y="0"/>
                      <a:ext cx="5031740" cy="17145"/>
                    </a:xfrm>
                    <a:prstGeom prst="rect">
                      <a:avLst/>
                    </a:prstGeom>
                    <a:noFill/>
                  </pic:spPr>
                </pic:pic>
              </a:graphicData>
            </a:graphic>
          </wp:anchor>
        </w:drawing>
      </w:r>
    </w:p>
    <w:p>
      <w:pPr>
        <w:sectPr>
          <w:pgSz w:w="11900" w:h="16838" w:orient="portrait"/>
          <w:cols w:equalWidth="0" w:num="1">
            <w:col w:w="9440"/>
          </w:cols>
          <w:pgMar w:left="1440" w:top="665" w:right="101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color w:val="auto"/>
        </w:rPr>
        <w:t>8</w:t>
      </w:r>
    </w:p>
    <w:p>
      <w:pPr>
        <w:spacing w:after="0" w:line="23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DeGolyer and MacNaughton</w:t>
      </w:r>
    </w:p>
    <w:p>
      <w:pPr>
        <w:spacing w:after="0" w:line="309" w:lineRule="exact"/>
        <w:rPr>
          <w:sz w:val="20"/>
          <w:szCs w:val="20"/>
          <w:color w:val="auto"/>
        </w:rPr>
      </w:pPr>
    </w:p>
    <w:p>
      <w:pPr>
        <w:jc w:val="both"/>
        <w:ind w:left="1840" w:right="1620"/>
        <w:spacing w:after="0" w:line="304" w:lineRule="auto"/>
        <w:rPr>
          <w:sz w:val="20"/>
          <w:szCs w:val="20"/>
          <w:color w:val="auto"/>
        </w:rPr>
      </w:pPr>
      <w:r>
        <w:rPr>
          <w:rFonts w:ascii="Arial" w:cs="Arial" w:eastAsia="Arial" w:hAnsi="Arial"/>
          <w:sz w:val="20"/>
          <w:szCs w:val="20"/>
          <w:color w:val="auto"/>
        </w:rPr>
        <w:t>unless prices are defined by contractual agreements. The oil, condensate, and NGL prices were calculated using differentials furnished by Evolution to the West Texas Intermediate (WTI) reference price of $83.23 per barrel and held constant thereafter. The volume-weighted average prices attributable to the estimated proved reserves over the lives of the properties were $76.44 per barrel of oil and condensate and $34.55 per barrel of NGL.</w:t>
      </w:r>
    </w:p>
    <w:p>
      <w:pPr>
        <w:spacing w:after="0" w:line="242" w:lineRule="exact"/>
        <w:rPr>
          <w:sz w:val="20"/>
          <w:szCs w:val="20"/>
          <w:color w:val="auto"/>
        </w:rPr>
      </w:pPr>
    </w:p>
    <w:p>
      <w:pPr>
        <w:ind w:left="1520"/>
        <w:spacing w:after="0"/>
        <w:rPr>
          <w:sz w:val="20"/>
          <w:szCs w:val="20"/>
          <w:color w:val="auto"/>
        </w:rPr>
      </w:pPr>
      <w:r>
        <w:rPr>
          <w:rFonts w:ascii="Arial" w:cs="Arial" w:eastAsia="Arial" w:hAnsi="Arial"/>
          <w:sz w:val="20"/>
          <w:szCs w:val="20"/>
          <w:i w:val="1"/>
          <w:iCs w:val="1"/>
          <w:color w:val="auto"/>
        </w:rPr>
        <w:t>Gas Prices</w:t>
      </w:r>
    </w:p>
    <w:p>
      <w:pPr>
        <w:spacing w:after="0" w:line="310" w:lineRule="exact"/>
        <w:rPr>
          <w:sz w:val="20"/>
          <w:szCs w:val="20"/>
          <w:color w:val="auto"/>
        </w:rPr>
      </w:pPr>
    </w:p>
    <w:p>
      <w:pPr>
        <w:jc w:val="both"/>
        <w:ind w:left="1840" w:right="1620"/>
        <w:spacing w:after="0" w:line="302" w:lineRule="auto"/>
        <w:rPr>
          <w:sz w:val="20"/>
          <w:szCs w:val="20"/>
          <w:color w:val="auto"/>
        </w:rPr>
      </w:pPr>
      <w:r>
        <w:rPr>
          <w:rFonts w:ascii="Arial" w:cs="Arial" w:eastAsia="Arial" w:hAnsi="Arial"/>
          <w:sz w:val="20"/>
          <w:szCs w:val="20"/>
          <w:color w:val="auto"/>
        </w:rPr>
        <w:t>Evolution has represented that the gas prices were based on a reference price, calculated as the unweighted arithmetic average of the first-day-of-the-month price for each month within the 12-month period prior to the end of the reporting period, unless prices are defined by contractual agreements. Evolution supplied differentials to the Henry Hub gas reference price of $4.78 per million Btu. The prices were held constant thereafter. Btu factors were provided by Evolution and used to convert prices from dollars per million Btu to dollars per thousand cubic feet. The volume-weighted average price attributable to the estimated proved reserves over the lives of the properties was $4.731 per thousand cubic feet of gas.</w:t>
      </w:r>
    </w:p>
    <w:p>
      <w:pPr>
        <w:spacing w:after="0" w:line="200" w:lineRule="exact"/>
        <w:rPr>
          <w:sz w:val="20"/>
          <w:szCs w:val="20"/>
          <w:color w:val="auto"/>
        </w:rPr>
      </w:pPr>
    </w:p>
    <w:p>
      <w:pPr>
        <w:spacing w:after="0" w:line="356" w:lineRule="exact"/>
        <w:rPr>
          <w:sz w:val="20"/>
          <w:szCs w:val="20"/>
          <w:color w:val="auto"/>
        </w:rPr>
      </w:pPr>
    </w:p>
    <w:p>
      <w:pPr>
        <w:ind w:left="1520"/>
        <w:spacing w:after="0"/>
        <w:rPr>
          <w:sz w:val="20"/>
          <w:szCs w:val="20"/>
          <w:color w:val="auto"/>
        </w:rPr>
      </w:pPr>
      <w:r>
        <w:rPr>
          <w:rFonts w:ascii="Arial" w:cs="Arial" w:eastAsia="Arial" w:hAnsi="Arial"/>
          <w:sz w:val="20"/>
          <w:szCs w:val="20"/>
          <w:i w:val="1"/>
          <w:iCs w:val="1"/>
          <w:color w:val="auto"/>
        </w:rPr>
        <w:t>Production and Ad Valorem Taxes</w:t>
      </w:r>
    </w:p>
    <w:p>
      <w:pPr>
        <w:spacing w:after="0" w:line="351" w:lineRule="exact"/>
        <w:rPr>
          <w:sz w:val="20"/>
          <w:szCs w:val="20"/>
          <w:color w:val="auto"/>
        </w:rPr>
      </w:pPr>
    </w:p>
    <w:p>
      <w:pPr>
        <w:jc w:val="both"/>
        <w:ind w:left="1840" w:right="1620"/>
        <w:spacing w:after="0" w:line="307" w:lineRule="auto"/>
        <w:rPr>
          <w:sz w:val="20"/>
          <w:szCs w:val="20"/>
          <w:color w:val="auto"/>
        </w:rPr>
      </w:pPr>
      <w:r>
        <w:rPr>
          <w:rFonts w:ascii="Arial" w:cs="Arial" w:eastAsia="Arial" w:hAnsi="Arial"/>
          <w:sz w:val="20"/>
          <w:szCs w:val="20"/>
          <w:color w:val="auto"/>
        </w:rPr>
        <w:t>Production taxes were calculated using rates provided by Evolution, including, where appropriate, abatements for enhanced recovery programs. Ad valorem taxes were calculated using rates provided by Evolution based on recent payments.</w:t>
      </w:r>
    </w:p>
    <w:p>
      <w:pPr>
        <w:spacing w:after="0" w:line="268" w:lineRule="exact"/>
        <w:rPr>
          <w:sz w:val="20"/>
          <w:szCs w:val="20"/>
          <w:color w:val="auto"/>
        </w:rPr>
      </w:pPr>
    </w:p>
    <w:p>
      <w:pPr>
        <w:jc w:val="both"/>
        <w:ind w:left="1840" w:right="1620"/>
        <w:spacing w:after="0" w:line="340" w:lineRule="auto"/>
        <w:rPr>
          <w:sz w:val="20"/>
          <w:szCs w:val="20"/>
          <w:color w:val="auto"/>
        </w:rPr>
      </w:pPr>
      <w:r>
        <w:rPr>
          <w:rFonts w:ascii="Arial" w:cs="Arial" w:eastAsia="Arial" w:hAnsi="Arial"/>
          <w:sz w:val="18"/>
          <w:szCs w:val="18"/>
          <w:color w:val="auto"/>
        </w:rPr>
        <w:t>Evolution has represented that the Delhi carbon dioxide flood has been qualified as a tertiary recovery project and that no oil production taxes will be charged until certain investment and interest expenses have been paid out from the project revenue. Oil production taxes then revert to a 12.5-percent rate, which rate is held constant until average oil production per well drops below 25 barrels per day, and then reduced to 6.25 percent thereafter. Payout is not expected to occur prior to depletion, so no oil production taxes are included herein for the Delhi 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441325</wp:posOffset>
            </wp:positionV>
            <wp:extent cx="5031740"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7">
                      <a:extLst>
                        <a:ext uri="{28A0092B-C50C-407E-A947-70E740481C1C}"/>
                      </a:extLst>
                    </a:blip>
                    <a:srcRect/>
                    <a:stretch>
                      <a:fillRect/>
                    </a:stretch>
                  </pic:blipFill>
                  <pic:spPr bwMode="auto">
                    <a:xfrm>
                      <a:off x="0" y="0"/>
                      <a:ext cx="5031740" cy="25400"/>
                    </a:xfrm>
                    <a:prstGeom prst="rect">
                      <a:avLst/>
                    </a:prstGeom>
                    <a:noFill/>
                  </pic:spPr>
                </pic:pic>
              </a:graphicData>
            </a:graphic>
          </wp:anchor>
        </w:drawing>
      </w:r>
    </w:p>
    <w:p>
      <w:pPr>
        <w:sectPr>
          <w:pgSz w:w="11900" w:h="16838" w:orient="portrait"/>
          <w:cols w:equalWidth="0" w:num="1">
            <w:col w:w="9440"/>
          </w:cols>
          <w:pgMar w:left="1440" w:top="665" w:right="101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color w:val="auto"/>
        </w:rPr>
        <w:t>9</w:t>
      </w:r>
    </w:p>
    <w:p>
      <w:pPr>
        <w:spacing w:after="0" w:line="23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DeGolyer and MacNaughton</w:t>
      </w:r>
    </w:p>
    <w:p>
      <w:pPr>
        <w:spacing w:after="0" w:line="282" w:lineRule="exact"/>
        <w:rPr>
          <w:sz w:val="20"/>
          <w:szCs w:val="20"/>
          <w:color w:val="auto"/>
        </w:rPr>
      </w:pPr>
    </w:p>
    <w:p>
      <w:pPr>
        <w:ind w:left="1520"/>
        <w:spacing w:after="0"/>
        <w:rPr>
          <w:sz w:val="20"/>
          <w:szCs w:val="20"/>
          <w:color w:val="auto"/>
        </w:rPr>
      </w:pPr>
      <w:r>
        <w:rPr>
          <w:rFonts w:ascii="Arial" w:cs="Arial" w:eastAsia="Arial" w:hAnsi="Arial"/>
          <w:sz w:val="20"/>
          <w:szCs w:val="20"/>
          <w:i w:val="1"/>
          <w:iCs w:val="1"/>
          <w:color w:val="auto"/>
        </w:rPr>
        <w:t>Operating Expenses, Capital Costs, and Abandonment Costs</w:t>
      </w:r>
    </w:p>
    <w:p>
      <w:pPr>
        <w:spacing w:after="0" w:line="324" w:lineRule="exact"/>
        <w:rPr>
          <w:sz w:val="20"/>
          <w:szCs w:val="20"/>
          <w:color w:val="auto"/>
        </w:rPr>
      </w:pPr>
    </w:p>
    <w:p>
      <w:pPr>
        <w:jc w:val="both"/>
        <w:ind w:left="1840" w:right="1620"/>
        <w:spacing w:after="0" w:line="318" w:lineRule="auto"/>
        <w:rPr>
          <w:sz w:val="20"/>
          <w:szCs w:val="20"/>
          <w:color w:val="auto"/>
        </w:rPr>
      </w:pPr>
      <w:r>
        <w:rPr>
          <w:rFonts w:ascii="Arial" w:cs="Arial" w:eastAsia="Arial" w:hAnsi="Arial"/>
          <w:sz w:val="19"/>
          <w:szCs w:val="19"/>
          <w:color w:val="auto"/>
        </w:rPr>
        <w:t>Estimates of operating expenses, provided by Evolution and based on current expenses, were held constant for the lives of the properties. Future capital expenditures were estimated using values from the 12 months prior to the as-of date of this report, provided by Evolution, and were not adjusted for inflation. In certain cases, future expenditures, either higher or lower than current expenditures, may have been used because of anticipated changes in operating conditions, but no general escalation that might result from inflation was applied. Abandonment costs, which are those costs associated with the removal of equipment, plugging of wells, and reclamation and restoration associated with the abandonment, were provided by Evolution and were not adjusted for inflation. Operating expenses, capital costs, and abandonment costs were considered, as appropriate, in determining the economic viability of the undeveloped reserves estimated herein.</w:t>
      </w:r>
    </w:p>
    <w:p>
      <w:pPr>
        <w:spacing w:after="0" w:line="254" w:lineRule="exact"/>
        <w:rPr>
          <w:sz w:val="20"/>
          <w:szCs w:val="20"/>
          <w:color w:val="auto"/>
        </w:rPr>
      </w:pPr>
    </w:p>
    <w:p>
      <w:pPr>
        <w:jc w:val="both"/>
        <w:ind w:left="880" w:right="640" w:firstLine="648"/>
        <w:spacing w:after="0" w:line="377" w:lineRule="auto"/>
        <w:rPr>
          <w:sz w:val="20"/>
          <w:szCs w:val="20"/>
          <w:color w:val="auto"/>
        </w:rPr>
      </w:pPr>
      <w:r>
        <w:rPr>
          <w:rFonts w:ascii="Arial" w:cs="Arial" w:eastAsia="Arial" w:hAnsi="Arial"/>
          <w:sz w:val="16"/>
          <w:szCs w:val="16"/>
          <w:color w:val="auto"/>
        </w:rPr>
        <w:t xml:space="preserve">In our opinion, the information relating to estimated proved reserves, estimated future net revenue from proved reserves, and present worth of estimated future net revenue from proved reserves of oil, condensate, NGL, and gas contained in this report has been prepared in accordance with Paragraphs 932-235-50-4, 932-235-50-6, 932-235-50-7, 932-235-50-9, 932-235-50-30, and 932-235-50-31(a), (b), and (e) of the Accounting Standards Update 932-235-50, </w:t>
      </w:r>
      <w:r>
        <w:rPr>
          <w:rFonts w:ascii="Arial" w:cs="Arial" w:eastAsia="Arial" w:hAnsi="Arial"/>
          <w:sz w:val="16"/>
          <w:szCs w:val="16"/>
          <w:i w:val="1"/>
          <w:iCs w:val="1"/>
          <w:color w:val="auto"/>
        </w:rPr>
        <w:t>Extractive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Industries – Oil and Gas (Topic 932): Oil and Gas Reserve Estimation and Disclosures </w:t>
      </w:r>
      <w:r>
        <w:rPr>
          <w:rFonts w:ascii="Arial" w:cs="Arial" w:eastAsia="Arial" w:hAnsi="Arial"/>
          <w:sz w:val="16"/>
          <w:szCs w:val="16"/>
          <w:color w:val="auto"/>
        </w:rPr>
        <w:t>(January</w:t>
      </w:r>
      <w:r>
        <w:rPr>
          <w:rFonts w:ascii="Arial" w:cs="Arial" w:eastAsia="Arial" w:hAnsi="Arial"/>
          <w:sz w:val="16"/>
          <w:szCs w:val="16"/>
          <w:i w:val="1"/>
          <w:iCs w:val="1"/>
          <w:color w:val="auto"/>
        </w:rPr>
        <w:t xml:space="preserve"> </w:t>
      </w:r>
      <w:r>
        <w:rPr>
          <w:rFonts w:ascii="Arial" w:cs="Arial" w:eastAsia="Arial" w:hAnsi="Arial"/>
          <w:sz w:val="16"/>
          <w:szCs w:val="16"/>
          <w:color w:val="auto"/>
        </w:rPr>
        <w:t>2010) of the FASB and Rules 4–10(a) (1)–(32) of Regulation S–X and Rules 302(b), 1201, 1202(a)</w:t>
      </w:r>
    </w:p>
    <w:p>
      <w:pPr>
        <w:spacing w:after="0" w:line="2" w:lineRule="exact"/>
        <w:rPr>
          <w:sz w:val="20"/>
          <w:szCs w:val="20"/>
          <w:color w:val="auto"/>
        </w:rPr>
      </w:pPr>
    </w:p>
    <w:p>
      <w:pPr>
        <w:jc w:val="both"/>
        <w:ind w:left="880" w:right="640"/>
        <w:spacing w:after="0" w:line="328" w:lineRule="auto"/>
        <w:rPr>
          <w:sz w:val="20"/>
          <w:szCs w:val="20"/>
          <w:color w:val="auto"/>
        </w:rPr>
      </w:pPr>
      <w:r>
        <w:rPr>
          <w:rFonts w:ascii="Arial" w:cs="Arial" w:eastAsia="Arial" w:hAnsi="Arial"/>
          <w:sz w:val="19"/>
          <w:szCs w:val="19"/>
          <w:color w:val="auto"/>
        </w:rPr>
        <w:t>(1), (2), (3), (4), (8), and 1203(a) of Regulation S–K of the SEC; provided, however, that (i) future income tax expenses have not been taken into account in estimating the future net revenue and present worth values set forth herein and (ii) estimates of the proved developed and proved undeveloped reserves are not presented at the beginning of the year.</w:t>
      </w:r>
    </w:p>
    <w:p>
      <w:pPr>
        <w:spacing w:after="0" w:line="237" w:lineRule="exact"/>
        <w:rPr>
          <w:sz w:val="20"/>
          <w:szCs w:val="20"/>
          <w:color w:val="auto"/>
        </w:rPr>
      </w:pPr>
    </w:p>
    <w:p>
      <w:pPr>
        <w:jc w:val="both"/>
        <w:ind w:left="880" w:right="640" w:firstLine="648"/>
        <w:spacing w:after="0" w:line="307" w:lineRule="auto"/>
        <w:rPr>
          <w:sz w:val="20"/>
          <w:szCs w:val="20"/>
          <w:color w:val="auto"/>
        </w:rPr>
      </w:pPr>
      <w:r>
        <w:rPr>
          <w:rFonts w:ascii="Arial" w:cs="Arial" w:eastAsia="Arial" w:hAnsi="Arial"/>
          <w:sz w:val="20"/>
          <w:szCs w:val="20"/>
          <w:color w:val="auto"/>
        </w:rPr>
        <w:t>To the extent the above-enumerated rules, regulations, and statements require determinations of an accounting or legal nature, we, as engineers, are necessarily unable to express an opinion as to whether the above-described information is in accordance therewith or sufficient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463550</wp:posOffset>
            </wp:positionV>
            <wp:extent cx="503174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8">
                      <a:extLst>
                        <a:ext uri="{28A0092B-C50C-407E-A947-70E740481C1C}"/>
                      </a:extLst>
                    </a:blip>
                    <a:srcRect/>
                    <a:stretch>
                      <a:fillRect/>
                    </a:stretch>
                  </pic:blipFill>
                  <pic:spPr bwMode="auto">
                    <a:xfrm>
                      <a:off x="0" y="0"/>
                      <a:ext cx="5031740" cy="17145"/>
                    </a:xfrm>
                    <a:prstGeom prst="rect">
                      <a:avLst/>
                    </a:prstGeom>
                    <a:noFill/>
                  </pic:spPr>
                </pic:pic>
              </a:graphicData>
            </a:graphic>
          </wp:anchor>
        </w:drawing>
      </w:r>
    </w:p>
    <w:p>
      <w:pPr>
        <w:sectPr>
          <w:pgSz w:w="11900" w:h="16838" w:orient="portrait"/>
          <w:cols w:equalWidth="0" w:num="1">
            <w:col w:w="9440"/>
          </w:cols>
          <w:pgMar w:left="1440" w:top="665" w:right="101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color w:val="auto"/>
        </w:rPr>
        <w:t>10</w:t>
      </w:r>
    </w:p>
    <w:p>
      <w:pPr>
        <w:spacing w:after="0" w:line="23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DeGolyer and MacNaughton</w:t>
      </w:r>
    </w:p>
    <w:p>
      <w:pPr>
        <w:spacing w:after="0" w:line="303" w:lineRule="exact"/>
        <w:rPr>
          <w:sz w:val="20"/>
          <w:szCs w:val="20"/>
          <w:color w:val="auto"/>
        </w:rPr>
      </w:pPr>
    </w:p>
    <w:p>
      <w:pPr>
        <w:ind w:left="880"/>
        <w:spacing w:after="0"/>
        <w:rPr>
          <w:sz w:val="20"/>
          <w:szCs w:val="20"/>
          <w:color w:val="auto"/>
        </w:rPr>
      </w:pPr>
      <w:r>
        <w:rPr>
          <w:rFonts w:ascii="Arial" w:cs="Arial" w:eastAsia="Arial" w:hAnsi="Arial"/>
          <w:sz w:val="20"/>
          <w:szCs w:val="20"/>
          <w:b w:val="1"/>
          <w:bCs w:val="1"/>
          <w:u w:val="single" w:color="auto"/>
          <w:color w:val="auto"/>
        </w:rPr>
        <w:t>Summary of Conclusions</w:t>
      </w:r>
    </w:p>
    <w:p>
      <w:pPr>
        <w:spacing w:after="0" w:line="357" w:lineRule="exact"/>
        <w:rPr>
          <w:sz w:val="20"/>
          <w:szCs w:val="20"/>
          <w:color w:val="auto"/>
        </w:rPr>
      </w:pPr>
    </w:p>
    <w:p>
      <w:pPr>
        <w:jc w:val="both"/>
        <w:ind w:left="880" w:right="640" w:firstLine="648"/>
        <w:spacing w:after="0" w:line="313" w:lineRule="auto"/>
        <w:rPr>
          <w:sz w:val="20"/>
          <w:szCs w:val="20"/>
          <w:color w:val="auto"/>
        </w:rPr>
      </w:pPr>
      <w:r>
        <w:rPr>
          <w:rFonts w:ascii="Arial" w:cs="Arial" w:eastAsia="Arial" w:hAnsi="Arial"/>
          <w:sz w:val="20"/>
          <w:szCs w:val="20"/>
          <w:color w:val="auto"/>
        </w:rPr>
        <w:t>DeGolyer and MacNaughton has performed an independent evaluation of the extent and value of the estimated net proved oil, condensate, NGL, and gas reserves of certain properties in which Evolution has represented it holds an interest.</w:t>
      </w:r>
    </w:p>
    <w:p>
      <w:pPr>
        <w:spacing w:after="0" w:line="248" w:lineRule="exact"/>
        <w:rPr>
          <w:sz w:val="20"/>
          <w:szCs w:val="20"/>
          <w:color w:val="auto"/>
        </w:rPr>
      </w:pPr>
    </w:p>
    <w:p>
      <w:pPr>
        <w:jc w:val="both"/>
        <w:ind w:left="880" w:right="640" w:firstLine="648"/>
        <w:spacing w:after="0" w:line="336" w:lineRule="auto"/>
        <w:rPr>
          <w:sz w:val="20"/>
          <w:szCs w:val="20"/>
          <w:color w:val="auto"/>
        </w:rPr>
      </w:pPr>
      <w:r>
        <w:rPr>
          <w:rFonts w:ascii="Arial" w:cs="Arial" w:eastAsia="Arial" w:hAnsi="Arial"/>
          <w:sz w:val="19"/>
          <w:szCs w:val="19"/>
          <w:color w:val="auto"/>
        </w:rPr>
        <w:t>The estimated net proved reserves, as of June 30, 2023, of the properties evaluated herein were based on the definition of proved reserves of the SEC and are summarized as follows, expressed in thousands of barrels (Mbbl) and millions of cubic feet (MMcf):</w:t>
      </w:r>
    </w:p>
    <w:p>
      <w:pPr>
        <w:spacing w:after="0" w:line="260" w:lineRule="exact"/>
        <w:rPr>
          <w:sz w:val="20"/>
          <w:szCs w:val="20"/>
          <w:color w:val="auto"/>
        </w:rPr>
      </w:pPr>
    </w:p>
    <w:tbl>
      <w:tblPr>
        <w:tblLayout w:type="fixed"/>
        <w:tblInd w:w="880" w:type="dxa"/>
        <w:tblCellMar>
          <w:top w:w="0" w:type="dxa"/>
          <w:left w:w="0" w:type="dxa"/>
          <w:bottom w:w="0" w:type="dxa"/>
          <w:right w:w="0" w:type="dxa"/>
        </w:tblCellMar>
      </w:tblPr>
      <w:tr>
        <w:trPr>
          <w:trHeight w:val="189"/>
        </w:trPr>
        <w:tc>
          <w:tcPr>
            <w:tcW w:w="3000" w:type="dxa"/>
            <w:vAlign w:val="bottom"/>
          </w:tcPr>
          <w:p>
            <w:pPr>
              <w:spacing w:after="0"/>
              <w:rPr>
                <w:sz w:val="16"/>
                <w:szCs w:val="16"/>
                <w:color w:val="auto"/>
              </w:rPr>
            </w:pPr>
          </w:p>
        </w:tc>
        <w:tc>
          <w:tcPr>
            <w:tcW w:w="4920" w:type="dxa"/>
            <w:vAlign w:val="bottom"/>
            <w:gridSpan w:val="6"/>
          </w:tcPr>
          <w:p>
            <w:pPr>
              <w:jc w:val="center"/>
              <w:ind w:right="1240"/>
              <w:spacing w:after="0"/>
              <w:rPr>
                <w:sz w:val="20"/>
                <w:szCs w:val="20"/>
                <w:color w:val="auto"/>
              </w:rPr>
            </w:pPr>
            <w:r>
              <w:rPr>
                <w:rFonts w:ascii="Arial" w:cs="Arial" w:eastAsia="Arial" w:hAnsi="Arial"/>
                <w:sz w:val="16"/>
                <w:szCs w:val="16"/>
                <w:b w:val="1"/>
                <w:bCs w:val="1"/>
                <w:color w:val="auto"/>
                <w:w w:val="92"/>
              </w:rPr>
              <w:t>Estimated by DeGolyer and MacNaughton</w:t>
            </w:r>
          </w:p>
        </w:tc>
      </w:tr>
      <w:tr>
        <w:trPr>
          <w:trHeight w:val="203"/>
        </w:trPr>
        <w:tc>
          <w:tcPr>
            <w:tcW w:w="3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Net Reserves</w:t>
            </w:r>
          </w:p>
        </w:tc>
        <w:tc>
          <w:tcPr>
            <w:tcW w:w="10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3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as of</w:t>
            </w:r>
          </w:p>
        </w:tc>
        <w:tc>
          <w:tcPr>
            <w:tcW w:w="10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300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2"/>
              </w:rPr>
              <w:t>June 30, 2023</w:t>
            </w:r>
          </w:p>
        </w:tc>
        <w:tc>
          <w:tcPr>
            <w:tcW w:w="1080" w:type="dxa"/>
            <w:vAlign w:val="bottom"/>
            <w:tcBorders>
              <w:bottom w:val="single" w:sz="8" w:color="auto"/>
            </w:tcBorders>
          </w:tcPr>
          <w:p>
            <w:pPr>
              <w:spacing w:after="0"/>
              <w:rPr>
                <w:sz w:val="17"/>
                <w:szCs w:val="17"/>
                <w:color w:val="auto"/>
              </w:rPr>
            </w:pPr>
          </w:p>
        </w:tc>
        <w:tc>
          <w:tcPr>
            <w:tcW w:w="1240" w:type="dxa"/>
            <w:vAlign w:val="bottom"/>
          </w:tcPr>
          <w:p>
            <w:pPr>
              <w:spacing w:after="0"/>
              <w:rPr>
                <w:sz w:val="17"/>
                <w:szCs w:val="17"/>
                <w:color w:val="auto"/>
              </w:rPr>
            </w:pPr>
          </w:p>
        </w:tc>
      </w:tr>
      <w:tr>
        <w:trPr>
          <w:trHeight w:val="209"/>
        </w:trPr>
        <w:tc>
          <w:tcPr>
            <w:tcW w:w="300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Oil and</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189"/>
        </w:trPr>
        <w:tc>
          <w:tcPr>
            <w:tcW w:w="300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Condensate</w:t>
            </w:r>
          </w:p>
        </w:tc>
        <w:tc>
          <w:tcPr>
            <w:tcW w:w="1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NGL</w:t>
            </w:r>
          </w:p>
        </w:tc>
        <w:tc>
          <w:tcPr>
            <w:tcW w:w="2320" w:type="dxa"/>
            <w:vAlign w:val="bottom"/>
            <w:gridSpan w:val="2"/>
          </w:tcPr>
          <w:p>
            <w:pPr>
              <w:ind w:left="200"/>
              <w:spacing w:after="0"/>
              <w:rPr>
                <w:sz w:val="20"/>
                <w:szCs w:val="20"/>
                <w:color w:val="auto"/>
              </w:rPr>
            </w:pPr>
            <w:r>
              <w:rPr>
                <w:rFonts w:ascii="Arial" w:cs="Arial" w:eastAsia="Arial" w:hAnsi="Arial"/>
                <w:sz w:val="16"/>
                <w:szCs w:val="16"/>
                <w:b w:val="1"/>
                <w:bCs w:val="1"/>
                <w:color w:val="auto"/>
              </w:rPr>
              <w:t>Sales Gas</w:t>
            </w:r>
          </w:p>
        </w:tc>
      </w:tr>
      <w:tr>
        <w:trPr>
          <w:trHeight w:val="213"/>
        </w:trPr>
        <w:tc>
          <w:tcPr>
            <w:tcW w:w="3000" w:type="dxa"/>
            <w:vAlign w:val="bottom"/>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(Mbbl)</w:t>
            </w:r>
          </w:p>
        </w:tc>
        <w:tc>
          <w:tcPr>
            <w:tcW w:w="240" w:type="dxa"/>
            <w:vAlign w:val="bottom"/>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(Mbbl)</w:t>
            </w:r>
          </w:p>
        </w:tc>
        <w:tc>
          <w:tcPr>
            <w:tcW w:w="240" w:type="dxa"/>
            <w:vAlign w:val="bottom"/>
          </w:tcPr>
          <w:p>
            <w:pPr>
              <w:spacing w:after="0"/>
              <w:rPr>
                <w:sz w:val="18"/>
                <w:szCs w:val="18"/>
                <w:color w:val="auto"/>
              </w:rPr>
            </w:pPr>
          </w:p>
        </w:tc>
        <w:tc>
          <w:tcPr>
            <w:tcW w:w="10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(MMcf)</w:t>
            </w:r>
          </w:p>
        </w:tc>
        <w:tc>
          <w:tcPr>
            <w:tcW w:w="1240" w:type="dxa"/>
            <w:vAlign w:val="bottom"/>
          </w:tcPr>
          <w:p>
            <w:pPr>
              <w:spacing w:after="0"/>
              <w:rPr>
                <w:sz w:val="18"/>
                <w:szCs w:val="18"/>
                <w:color w:val="auto"/>
              </w:rPr>
            </w:pPr>
          </w:p>
        </w:tc>
      </w:tr>
      <w:tr>
        <w:trPr>
          <w:trHeight w:val="436"/>
        </w:trPr>
        <w:tc>
          <w:tcPr>
            <w:tcW w:w="3000" w:type="dxa"/>
            <w:vAlign w:val="bottom"/>
          </w:tcPr>
          <w:p>
            <w:pPr>
              <w:ind w:left="780"/>
              <w:spacing w:after="0"/>
              <w:rPr>
                <w:sz w:val="20"/>
                <w:szCs w:val="20"/>
                <w:color w:val="auto"/>
              </w:rPr>
            </w:pPr>
            <w:r>
              <w:rPr>
                <w:rFonts w:ascii="Arial" w:cs="Arial" w:eastAsia="Arial" w:hAnsi="Arial"/>
                <w:sz w:val="16"/>
                <w:szCs w:val="16"/>
                <w:color w:val="auto"/>
              </w:rPr>
              <w:t>Proved Developed</w:t>
            </w: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5,208</w:t>
            </w: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4,554</w:t>
            </w:r>
          </w:p>
        </w:tc>
        <w:tc>
          <w:tcPr>
            <w:tcW w:w="1080" w:type="dxa"/>
            <w:vAlign w:val="bottom"/>
          </w:tcPr>
          <w:p>
            <w:pPr>
              <w:jc w:val="right"/>
              <w:spacing w:after="0"/>
              <w:rPr>
                <w:sz w:val="20"/>
                <w:szCs w:val="20"/>
                <w:color w:val="auto"/>
              </w:rPr>
            </w:pPr>
            <w:r>
              <w:rPr>
                <w:rFonts w:ascii="Arial" w:cs="Arial" w:eastAsia="Arial" w:hAnsi="Arial"/>
                <w:sz w:val="16"/>
                <w:szCs w:val="16"/>
                <w:color w:val="auto"/>
              </w:rPr>
              <w:t>54,165</w:t>
            </w:r>
          </w:p>
        </w:tc>
        <w:tc>
          <w:tcPr>
            <w:tcW w:w="1240" w:type="dxa"/>
            <w:vAlign w:val="bottom"/>
          </w:tcPr>
          <w:p>
            <w:pPr>
              <w:spacing w:after="0"/>
              <w:rPr>
                <w:sz w:val="24"/>
                <w:szCs w:val="24"/>
                <w:color w:val="auto"/>
              </w:rPr>
            </w:pPr>
          </w:p>
        </w:tc>
      </w:tr>
      <w:tr>
        <w:trPr>
          <w:trHeight w:val="219"/>
        </w:trPr>
        <w:tc>
          <w:tcPr>
            <w:tcW w:w="3000" w:type="dxa"/>
            <w:vAlign w:val="bottom"/>
          </w:tcPr>
          <w:p>
            <w:pPr>
              <w:ind w:left="780"/>
              <w:spacing w:after="0"/>
              <w:rPr>
                <w:sz w:val="20"/>
                <w:szCs w:val="20"/>
                <w:color w:val="auto"/>
              </w:rPr>
            </w:pPr>
            <w:r>
              <w:rPr>
                <w:rFonts w:ascii="Arial" w:cs="Arial" w:eastAsia="Arial" w:hAnsi="Arial"/>
                <w:sz w:val="16"/>
                <w:szCs w:val="16"/>
                <w:color w:val="auto"/>
              </w:rPr>
              <w:t>Proved Undeveloped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24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24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1240" w:type="dxa"/>
            <w:vAlign w:val="bottom"/>
          </w:tcPr>
          <w:p>
            <w:pPr>
              <w:spacing w:after="0"/>
              <w:rPr>
                <w:sz w:val="19"/>
                <w:szCs w:val="19"/>
                <w:color w:val="auto"/>
              </w:rPr>
            </w:pPr>
          </w:p>
        </w:tc>
      </w:tr>
      <w:tr>
        <w:trPr>
          <w:trHeight w:val="423"/>
        </w:trPr>
        <w:tc>
          <w:tcPr>
            <w:tcW w:w="3000" w:type="dxa"/>
            <w:vAlign w:val="bottom"/>
          </w:tcPr>
          <w:p>
            <w:pPr>
              <w:ind w:left="780"/>
              <w:spacing w:after="0"/>
              <w:rPr>
                <w:sz w:val="20"/>
                <w:szCs w:val="20"/>
                <w:color w:val="auto"/>
              </w:rPr>
            </w:pPr>
            <w:r>
              <w:rPr>
                <w:rFonts w:ascii="Arial" w:cs="Arial" w:eastAsia="Arial" w:hAnsi="Arial"/>
                <w:sz w:val="16"/>
                <w:szCs w:val="16"/>
                <w:b w:val="1"/>
                <w:bCs w:val="1"/>
                <w:color w:val="auto"/>
              </w:rPr>
              <w:t>Total Proved</w:t>
            </w:r>
          </w:p>
        </w:tc>
        <w:tc>
          <w:tcPr>
            <w:tcW w:w="13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5,306</w:t>
            </w:r>
          </w:p>
        </w:tc>
        <w:tc>
          <w:tcPr>
            <w:tcW w:w="13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4,574</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54,165</w:t>
            </w:r>
          </w:p>
        </w:tc>
        <w:tc>
          <w:tcPr>
            <w:tcW w:w="1240" w:type="dxa"/>
            <w:vAlign w:val="bottom"/>
          </w:tcPr>
          <w:p>
            <w:pPr>
              <w:spacing w:after="0"/>
              <w:rPr>
                <w:sz w:val="24"/>
                <w:szCs w:val="24"/>
                <w:color w:val="auto"/>
              </w:rPr>
            </w:pPr>
          </w:p>
        </w:tc>
      </w:tr>
      <w:tr>
        <w:trPr>
          <w:trHeight w:val="1498"/>
        </w:trPr>
        <w:tc>
          <w:tcPr>
            <w:tcW w:w="30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9440"/>
          </w:cols>
          <w:pgMar w:left="1440" w:top="665" w:right="101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color w:val="auto"/>
        </w:rPr>
        <w:t>11</w:t>
      </w:r>
    </w:p>
    <w:p>
      <w:pPr>
        <w:spacing w:after="0" w:line="23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DeGolyer and MacNaughton</w:t>
      </w:r>
    </w:p>
    <w:p>
      <w:pPr>
        <w:spacing w:after="0" w:line="200" w:lineRule="exact"/>
        <w:rPr>
          <w:sz w:val="20"/>
          <w:szCs w:val="20"/>
          <w:color w:val="auto"/>
        </w:rPr>
      </w:pPr>
    </w:p>
    <w:p>
      <w:pPr>
        <w:spacing w:after="0" w:line="271" w:lineRule="exact"/>
        <w:rPr>
          <w:sz w:val="20"/>
          <w:szCs w:val="20"/>
          <w:color w:val="auto"/>
        </w:rPr>
      </w:pPr>
    </w:p>
    <w:p>
      <w:pPr>
        <w:jc w:val="both"/>
        <w:ind w:left="880" w:right="640" w:firstLine="648"/>
        <w:spacing w:after="0" w:line="336" w:lineRule="auto"/>
        <w:rPr>
          <w:sz w:val="20"/>
          <w:szCs w:val="20"/>
          <w:color w:val="auto"/>
        </w:rPr>
      </w:pPr>
      <w:r>
        <w:rPr>
          <w:rFonts w:ascii="Arial" w:cs="Arial" w:eastAsia="Arial" w:hAnsi="Arial"/>
          <w:sz w:val="19"/>
          <w:szCs w:val="19"/>
          <w:color w:val="auto"/>
        </w:rPr>
        <w:t>The estimated future revenue to be derived from the production and sale of the net proved reserves, as of June 30, 2023, of the properties evaluated using the guidelines established by the SEC is summarized as follows, expressed in thousands of dollars (M$):</w:t>
      </w:r>
    </w:p>
    <w:p>
      <w:pPr>
        <w:spacing w:after="0" w:line="233" w:lineRule="exact"/>
        <w:rPr>
          <w:sz w:val="20"/>
          <w:szCs w:val="20"/>
          <w:color w:val="auto"/>
        </w:rPr>
      </w:pPr>
    </w:p>
    <w:tbl>
      <w:tblPr>
        <w:tblLayout w:type="fixed"/>
        <w:tblInd w:w="1920" w:type="dxa"/>
        <w:tblCellMar>
          <w:top w:w="0" w:type="dxa"/>
          <w:left w:w="0" w:type="dxa"/>
          <w:bottom w:w="0" w:type="dxa"/>
          <w:right w:w="0" w:type="dxa"/>
        </w:tblCellMar>
      </w:tblPr>
      <w:tr>
        <w:trPr>
          <w:trHeight w:val="203"/>
        </w:trPr>
        <w:tc>
          <w:tcPr>
            <w:tcW w:w="2220" w:type="dxa"/>
            <w:vAlign w:val="bottom"/>
          </w:tcPr>
          <w:p>
            <w:pPr>
              <w:spacing w:after="0"/>
              <w:rPr>
                <w:sz w:val="17"/>
                <w:szCs w:val="17"/>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Proved</w:t>
            </w:r>
          </w:p>
        </w:tc>
        <w:tc>
          <w:tcPr>
            <w:tcW w:w="13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Undeveloped</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4"/>
              </w:rPr>
              <w:t>Total</w:t>
            </w:r>
          </w:p>
        </w:tc>
      </w:tr>
      <w:tr>
        <w:trPr>
          <w:trHeight w:val="189"/>
        </w:trPr>
        <w:tc>
          <w:tcPr>
            <w:tcW w:w="2220" w:type="dxa"/>
            <w:vAlign w:val="bottom"/>
          </w:tcPr>
          <w:p>
            <w:pPr>
              <w:spacing w:after="0"/>
              <w:rPr>
                <w:sz w:val="16"/>
                <w:szCs w:val="16"/>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Developed (M$)</w:t>
            </w:r>
          </w:p>
        </w:tc>
        <w:tc>
          <w:tcPr>
            <w:tcW w:w="13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(M$)</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2"/>
              </w:rPr>
              <w:t>Proved</w:t>
            </w:r>
          </w:p>
        </w:tc>
      </w:tr>
      <w:tr>
        <w:trPr>
          <w:trHeight w:val="213"/>
        </w:trPr>
        <w:tc>
          <w:tcPr>
            <w:tcW w:w="2220" w:type="dxa"/>
            <w:vAlign w:val="bottom"/>
          </w:tcPr>
          <w:p>
            <w:pPr>
              <w:spacing w:after="0"/>
              <w:rPr>
                <w:sz w:val="18"/>
                <w:szCs w:val="18"/>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(M$)</w:t>
            </w:r>
          </w:p>
        </w:tc>
        <w:tc>
          <w:tcPr>
            <w:tcW w:w="13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(M$)</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436"/>
        </w:trPr>
        <w:tc>
          <w:tcPr>
            <w:tcW w:w="2220" w:type="dxa"/>
            <w:vAlign w:val="bottom"/>
          </w:tcPr>
          <w:p>
            <w:pPr>
              <w:spacing w:after="0"/>
              <w:rPr>
                <w:sz w:val="20"/>
                <w:szCs w:val="20"/>
                <w:color w:val="auto"/>
              </w:rPr>
            </w:pPr>
            <w:r>
              <w:rPr>
                <w:rFonts w:ascii="Arial" w:cs="Arial" w:eastAsia="Arial" w:hAnsi="Arial"/>
                <w:sz w:val="16"/>
                <w:szCs w:val="16"/>
                <w:color w:val="auto"/>
              </w:rPr>
              <w:t>Future Gross Revenue</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811,022</w:t>
            </w:r>
          </w:p>
        </w:tc>
        <w:tc>
          <w:tcPr>
            <w:tcW w:w="160" w:type="dxa"/>
            <w:vAlign w:val="bottom"/>
          </w:tcPr>
          <w:p>
            <w:pPr>
              <w:spacing w:after="0"/>
              <w:rPr>
                <w:sz w:val="24"/>
                <w:szCs w:val="24"/>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8,842</w:t>
            </w:r>
          </w:p>
        </w:tc>
        <w:tc>
          <w:tcPr>
            <w:tcW w:w="160" w:type="dxa"/>
            <w:vAlign w:val="bottom"/>
          </w:tcPr>
          <w:p>
            <w:pPr>
              <w:spacing w:after="0"/>
              <w:rPr>
                <w:sz w:val="24"/>
                <w:szCs w:val="2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819,864</w:t>
            </w:r>
          </w:p>
        </w:tc>
      </w:tr>
      <w:tr>
        <w:trPr>
          <w:trHeight w:val="216"/>
        </w:trPr>
        <w:tc>
          <w:tcPr>
            <w:tcW w:w="2220" w:type="dxa"/>
            <w:vAlign w:val="bottom"/>
          </w:tcPr>
          <w:p>
            <w:pPr>
              <w:spacing w:after="0"/>
              <w:rPr>
                <w:sz w:val="20"/>
                <w:szCs w:val="20"/>
                <w:color w:val="auto"/>
              </w:rPr>
            </w:pPr>
            <w:r>
              <w:rPr>
                <w:rFonts w:ascii="Arial" w:cs="Arial" w:eastAsia="Arial" w:hAnsi="Arial"/>
                <w:sz w:val="16"/>
                <w:szCs w:val="16"/>
                <w:color w:val="auto"/>
              </w:rPr>
              <w:t>Production Taxes</w:t>
            </w:r>
          </w:p>
        </w:tc>
        <w:tc>
          <w:tcPr>
            <w:tcW w:w="1220" w:type="dxa"/>
            <w:vAlign w:val="bottom"/>
          </w:tcPr>
          <w:p>
            <w:pPr>
              <w:jc w:val="right"/>
              <w:spacing w:after="0"/>
              <w:rPr>
                <w:sz w:val="20"/>
                <w:szCs w:val="20"/>
                <w:color w:val="auto"/>
              </w:rPr>
            </w:pPr>
            <w:r>
              <w:rPr>
                <w:rFonts w:ascii="Arial" w:cs="Arial" w:eastAsia="Arial" w:hAnsi="Arial"/>
                <w:sz w:val="16"/>
                <w:szCs w:val="16"/>
                <w:color w:val="auto"/>
              </w:rPr>
              <w:t>20,109</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20,114</w:t>
            </w:r>
          </w:p>
        </w:tc>
      </w:tr>
      <w:tr>
        <w:trPr>
          <w:trHeight w:val="216"/>
        </w:trPr>
        <w:tc>
          <w:tcPr>
            <w:tcW w:w="2220" w:type="dxa"/>
            <w:vAlign w:val="bottom"/>
          </w:tcPr>
          <w:p>
            <w:pPr>
              <w:spacing w:after="0"/>
              <w:rPr>
                <w:sz w:val="20"/>
                <w:szCs w:val="20"/>
                <w:color w:val="auto"/>
              </w:rPr>
            </w:pPr>
            <w:r>
              <w:rPr>
                <w:rFonts w:ascii="Arial" w:cs="Arial" w:eastAsia="Arial" w:hAnsi="Arial"/>
                <w:sz w:val="16"/>
                <w:szCs w:val="16"/>
                <w:color w:val="auto"/>
              </w:rPr>
              <w:t>Ad Valorem Taxes</w:t>
            </w:r>
          </w:p>
        </w:tc>
        <w:tc>
          <w:tcPr>
            <w:tcW w:w="1220" w:type="dxa"/>
            <w:vAlign w:val="bottom"/>
          </w:tcPr>
          <w:p>
            <w:pPr>
              <w:jc w:val="right"/>
              <w:spacing w:after="0"/>
              <w:rPr>
                <w:sz w:val="20"/>
                <w:szCs w:val="20"/>
                <w:color w:val="auto"/>
              </w:rPr>
            </w:pPr>
            <w:r>
              <w:rPr>
                <w:rFonts w:ascii="Arial" w:cs="Arial" w:eastAsia="Arial" w:hAnsi="Arial"/>
                <w:sz w:val="16"/>
                <w:szCs w:val="16"/>
                <w:color w:val="auto"/>
              </w:rPr>
              <w:t>19,596</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63</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19,659</w:t>
            </w:r>
          </w:p>
        </w:tc>
      </w:tr>
      <w:tr>
        <w:trPr>
          <w:trHeight w:val="216"/>
        </w:trPr>
        <w:tc>
          <w:tcPr>
            <w:tcW w:w="2220" w:type="dxa"/>
            <w:vAlign w:val="bottom"/>
          </w:tcPr>
          <w:p>
            <w:pPr>
              <w:spacing w:after="0"/>
              <w:rPr>
                <w:sz w:val="20"/>
                <w:szCs w:val="20"/>
                <w:color w:val="auto"/>
              </w:rPr>
            </w:pPr>
            <w:r>
              <w:rPr>
                <w:rFonts w:ascii="Arial" w:cs="Arial" w:eastAsia="Arial" w:hAnsi="Arial"/>
                <w:sz w:val="16"/>
                <w:szCs w:val="16"/>
                <w:color w:val="auto"/>
              </w:rPr>
              <w:t>Operating Expenses</w:t>
            </w:r>
          </w:p>
        </w:tc>
        <w:tc>
          <w:tcPr>
            <w:tcW w:w="1220" w:type="dxa"/>
            <w:vAlign w:val="bottom"/>
          </w:tcPr>
          <w:p>
            <w:pPr>
              <w:jc w:val="right"/>
              <w:spacing w:after="0"/>
              <w:rPr>
                <w:sz w:val="20"/>
                <w:szCs w:val="20"/>
                <w:color w:val="auto"/>
              </w:rPr>
            </w:pPr>
            <w:r>
              <w:rPr>
                <w:rFonts w:ascii="Arial" w:cs="Arial" w:eastAsia="Arial" w:hAnsi="Arial"/>
                <w:sz w:val="16"/>
                <w:szCs w:val="16"/>
                <w:color w:val="auto"/>
              </w:rPr>
              <w:t>521,143</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1,166</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522,309</w:t>
            </w:r>
          </w:p>
        </w:tc>
      </w:tr>
      <w:tr>
        <w:trPr>
          <w:trHeight w:val="216"/>
        </w:trPr>
        <w:tc>
          <w:tcPr>
            <w:tcW w:w="2220" w:type="dxa"/>
            <w:vAlign w:val="bottom"/>
          </w:tcPr>
          <w:p>
            <w:pPr>
              <w:spacing w:after="0"/>
              <w:rPr>
                <w:sz w:val="20"/>
                <w:szCs w:val="20"/>
                <w:color w:val="auto"/>
              </w:rPr>
            </w:pPr>
            <w:r>
              <w:rPr>
                <w:rFonts w:ascii="Arial" w:cs="Arial" w:eastAsia="Arial" w:hAnsi="Arial"/>
                <w:sz w:val="16"/>
                <w:szCs w:val="16"/>
                <w:color w:val="auto"/>
              </w:rPr>
              <w:t>Capital Costs</w:t>
            </w:r>
          </w:p>
        </w:tc>
        <w:tc>
          <w:tcPr>
            <w:tcW w:w="1220" w:type="dxa"/>
            <w:vAlign w:val="bottom"/>
          </w:tcPr>
          <w:p>
            <w:pPr>
              <w:jc w:val="right"/>
              <w:spacing w:after="0"/>
              <w:rPr>
                <w:sz w:val="20"/>
                <w:szCs w:val="20"/>
                <w:color w:val="auto"/>
              </w:rPr>
            </w:pPr>
            <w:r>
              <w:rPr>
                <w:rFonts w:ascii="Arial" w:cs="Arial" w:eastAsia="Arial" w:hAnsi="Arial"/>
                <w:sz w:val="16"/>
                <w:szCs w:val="16"/>
                <w:color w:val="auto"/>
              </w:rPr>
              <w:t>6,235</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861</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7,096</w:t>
            </w:r>
          </w:p>
        </w:tc>
      </w:tr>
      <w:tr>
        <w:trPr>
          <w:trHeight w:val="216"/>
        </w:trPr>
        <w:tc>
          <w:tcPr>
            <w:tcW w:w="2220" w:type="dxa"/>
            <w:vAlign w:val="bottom"/>
          </w:tcPr>
          <w:p>
            <w:pPr>
              <w:spacing w:after="0"/>
              <w:rPr>
                <w:sz w:val="20"/>
                <w:szCs w:val="20"/>
                <w:color w:val="auto"/>
              </w:rPr>
            </w:pPr>
            <w:r>
              <w:rPr>
                <w:rFonts w:ascii="Arial" w:cs="Arial" w:eastAsia="Arial" w:hAnsi="Arial"/>
                <w:sz w:val="16"/>
                <w:szCs w:val="16"/>
                <w:color w:val="auto"/>
              </w:rPr>
              <w:t>Abandonment Costs</w:t>
            </w:r>
          </w:p>
        </w:tc>
        <w:tc>
          <w:tcPr>
            <w:tcW w:w="1220" w:type="dxa"/>
            <w:vAlign w:val="bottom"/>
          </w:tcPr>
          <w:p>
            <w:pPr>
              <w:jc w:val="right"/>
              <w:spacing w:after="0"/>
              <w:rPr>
                <w:sz w:val="20"/>
                <w:szCs w:val="20"/>
                <w:color w:val="auto"/>
              </w:rPr>
            </w:pPr>
            <w:r>
              <w:rPr>
                <w:rFonts w:ascii="Arial" w:cs="Arial" w:eastAsia="Arial" w:hAnsi="Arial"/>
                <w:sz w:val="16"/>
                <w:szCs w:val="16"/>
                <w:color w:val="auto"/>
              </w:rPr>
              <w:t>25,250</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72</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25,322</w:t>
            </w:r>
          </w:p>
        </w:tc>
      </w:tr>
      <w:tr>
        <w:trPr>
          <w:trHeight w:val="216"/>
        </w:trPr>
        <w:tc>
          <w:tcPr>
            <w:tcW w:w="2220" w:type="dxa"/>
            <w:vAlign w:val="bottom"/>
          </w:tcPr>
          <w:p>
            <w:pPr>
              <w:spacing w:after="0"/>
              <w:rPr>
                <w:sz w:val="20"/>
                <w:szCs w:val="20"/>
                <w:color w:val="auto"/>
              </w:rPr>
            </w:pPr>
            <w:r>
              <w:rPr>
                <w:rFonts w:ascii="Arial" w:cs="Arial" w:eastAsia="Arial" w:hAnsi="Arial"/>
                <w:sz w:val="16"/>
                <w:szCs w:val="16"/>
                <w:color w:val="auto"/>
              </w:rPr>
              <w:t>Future Net Revenue</w:t>
            </w:r>
          </w:p>
        </w:tc>
        <w:tc>
          <w:tcPr>
            <w:tcW w:w="1220" w:type="dxa"/>
            <w:vAlign w:val="bottom"/>
          </w:tcPr>
          <w:p>
            <w:pPr>
              <w:jc w:val="right"/>
              <w:spacing w:after="0"/>
              <w:rPr>
                <w:sz w:val="20"/>
                <w:szCs w:val="20"/>
                <w:color w:val="auto"/>
              </w:rPr>
            </w:pPr>
            <w:r>
              <w:rPr>
                <w:rFonts w:ascii="Arial" w:cs="Arial" w:eastAsia="Arial" w:hAnsi="Arial"/>
                <w:sz w:val="16"/>
                <w:szCs w:val="16"/>
                <w:color w:val="auto"/>
              </w:rPr>
              <w:t>218,689</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6,675</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225,364</w:t>
            </w:r>
          </w:p>
        </w:tc>
      </w:tr>
      <w:tr>
        <w:trPr>
          <w:trHeight w:val="216"/>
        </w:trPr>
        <w:tc>
          <w:tcPr>
            <w:tcW w:w="2220" w:type="dxa"/>
            <w:vAlign w:val="bottom"/>
          </w:tcPr>
          <w:p>
            <w:pPr>
              <w:spacing w:after="0"/>
              <w:rPr>
                <w:sz w:val="20"/>
                <w:szCs w:val="20"/>
                <w:color w:val="auto"/>
              </w:rPr>
            </w:pPr>
            <w:r>
              <w:rPr>
                <w:rFonts w:ascii="Arial" w:cs="Arial" w:eastAsia="Arial" w:hAnsi="Arial"/>
                <w:sz w:val="16"/>
                <w:szCs w:val="16"/>
                <w:color w:val="auto"/>
              </w:rPr>
              <w:t>Present Worth at 10 Percent</w:t>
            </w:r>
          </w:p>
        </w:tc>
        <w:tc>
          <w:tcPr>
            <w:tcW w:w="1220" w:type="dxa"/>
            <w:vAlign w:val="bottom"/>
          </w:tcPr>
          <w:p>
            <w:pPr>
              <w:jc w:val="right"/>
              <w:spacing w:after="0"/>
              <w:rPr>
                <w:sz w:val="20"/>
                <w:szCs w:val="20"/>
                <w:color w:val="auto"/>
              </w:rPr>
            </w:pPr>
            <w:r>
              <w:rPr>
                <w:rFonts w:ascii="Arial" w:cs="Arial" w:eastAsia="Arial" w:hAnsi="Arial"/>
                <w:sz w:val="16"/>
                <w:szCs w:val="16"/>
                <w:color w:val="auto"/>
              </w:rPr>
              <w:t>131,390</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4,679</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136,069</w:t>
            </w:r>
          </w:p>
        </w:tc>
      </w:tr>
    </w:tbl>
    <w:p>
      <w:pPr>
        <w:spacing w:after="0" w:line="199" w:lineRule="exact"/>
        <w:rPr>
          <w:sz w:val="20"/>
          <w:szCs w:val="20"/>
          <w:color w:val="auto"/>
        </w:rPr>
      </w:pPr>
    </w:p>
    <w:p>
      <w:pPr>
        <w:ind w:left="2420" w:right="2140" w:hanging="517"/>
        <w:spacing w:after="0" w:line="293" w:lineRule="auto"/>
        <w:rPr>
          <w:sz w:val="20"/>
          <w:szCs w:val="20"/>
          <w:color w:val="auto"/>
        </w:rPr>
      </w:pPr>
      <w:r>
        <w:rPr>
          <w:rFonts w:ascii="Arial" w:cs="Arial" w:eastAsia="Arial" w:hAnsi="Arial"/>
          <w:sz w:val="16"/>
          <w:szCs w:val="16"/>
          <w:color w:val="auto"/>
        </w:rPr>
        <w:t>Note: Future income taxes have not been taken into account in the preparation of these estimates.</w:t>
      </w:r>
    </w:p>
    <w:p>
      <w:pPr>
        <w:spacing w:after="0" w:line="273" w:lineRule="exact"/>
        <w:rPr>
          <w:sz w:val="20"/>
          <w:szCs w:val="20"/>
          <w:color w:val="auto"/>
        </w:rPr>
      </w:pPr>
    </w:p>
    <w:p>
      <w:pPr>
        <w:jc w:val="both"/>
        <w:ind w:left="880" w:right="640" w:firstLine="648"/>
        <w:spacing w:after="0" w:line="353" w:lineRule="auto"/>
        <w:rPr>
          <w:sz w:val="20"/>
          <w:szCs w:val="20"/>
          <w:color w:val="auto"/>
        </w:rPr>
      </w:pPr>
      <w:r>
        <w:rPr>
          <w:rFonts w:ascii="Arial" w:cs="Arial" w:eastAsia="Arial" w:hAnsi="Arial"/>
          <w:sz w:val="18"/>
          <w:szCs w:val="18"/>
          <w:color w:val="auto"/>
        </w:rPr>
        <w:t>While the oil and gas industry may be subject to regulatory changes from time to time that could affect an industry participant’s ability to recover its reserves, we are not aware of any such governmental actions which would restrict the recovery of the June 30, 2023, estimated reserves.</w:t>
      </w:r>
    </w:p>
    <w:p>
      <w:pPr>
        <w:spacing w:after="0" w:line="234" w:lineRule="exact"/>
        <w:rPr>
          <w:sz w:val="20"/>
          <w:szCs w:val="20"/>
          <w:color w:val="auto"/>
        </w:rPr>
      </w:pPr>
    </w:p>
    <w:p>
      <w:pPr>
        <w:jc w:val="both"/>
        <w:ind w:left="880" w:right="640" w:firstLine="648"/>
        <w:spacing w:after="0" w:line="345" w:lineRule="auto"/>
        <w:rPr>
          <w:sz w:val="20"/>
          <w:szCs w:val="20"/>
          <w:color w:val="auto"/>
        </w:rPr>
      </w:pPr>
      <w:r>
        <w:rPr>
          <w:rFonts w:ascii="Arial" w:cs="Arial" w:eastAsia="Arial" w:hAnsi="Arial"/>
          <w:sz w:val="18"/>
          <w:szCs w:val="18"/>
          <w:color w:val="auto"/>
        </w:rPr>
        <w:t>DeGolyer and MacNaughton is an independent petroleum engineering consulting firm that has been providing petroleum consulting services throughout the world since 1936. DeGolyer and MacNaughton does not have any financial interest, including stock ownership, in Evolution. Our fees were not contingent on the results of our evaluation. This report has been prepared at the request of Evolution. DeGolyer and MacNaughton has used all assumptions, data, procedures, and methods that it considers necessary and appropriate to prepare this report.</w:t>
      </w:r>
    </w:p>
    <w:p>
      <w:pPr>
        <w:spacing w:after="0" w:line="267" w:lineRule="exact"/>
        <w:rPr>
          <w:sz w:val="20"/>
          <w:szCs w:val="20"/>
          <w:color w:val="auto"/>
        </w:rPr>
      </w:pPr>
    </w:p>
    <w:p>
      <w:pPr>
        <w:ind w:left="4600"/>
        <w:spacing w:after="0"/>
        <w:rPr>
          <w:sz w:val="20"/>
          <w:szCs w:val="20"/>
          <w:color w:val="auto"/>
        </w:rPr>
      </w:pPr>
      <w:r>
        <w:rPr>
          <w:rFonts w:ascii="Arial" w:cs="Arial" w:eastAsia="Arial" w:hAnsi="Arial"/>
          <w:sz w:val="20"/>
          <w:szCs w:val="20"/>
          <w:color w:val="auto"/>
        </w:rPr>
        <w:t>Submitted,</w:t>
      </w:r>
    </w:p>
    <w:p>
      <w:pPr>
        <w:spacing w:after="0" w:line="189" w:lineRule="exact"/>
        <w:rPr>
          <w:sz w:val="20"/>
          <w:szCs w:val="20"/>
          <w:color w:val="auto"/>
        </w:rPr>
      </w:pPr>
    </w:p>
    <w:p>
      <w:pPr>
        <w:ind w:left="4600"/>
        <w:spacing w:after="0"/>
        <w:rPr>
          <w:sz w:val="20"/>
          <w:szCs w:val="20"/>
          <w:color w:val="auto"/>
        </w:rPr>
      </w:pPr>
      <w:r>
        <w:rPr>
          <w:rFonts w:ascii="Arial" w:cs="Arial" w:eastAsia="Arial" w:hAnsi="Arial"/>
          <w:sz w:val="20"/>
          <w:szCs w:val="20"/>
          <w:color w:val="auto"/>
        </w:rPr>
        <w:t>/s/ DeGolyer and MacNaughton</w:t>
      </w:r>
    </w:p>
    <w:p>
      <w:pPr>
        <w:spacing w:after="0" w:line="270" w:lineRule="exact"/>
        <w:rPr>
          <w:sz w:val="20"/>
          <w:szCs w:val="20"/>
          <w:color w:val="auto"/>
        </w:rPr>
      </w:pPr>
    </w:p>
    <w:p>
      <w:pPr>
        <w:ind w:left="4600"/>
        <w:spacing w:after="0"/>
        <w:rPr>
          <w:sz w:val="20"/>
          <w:szCs w:val="20"/>
          <w:color w:val="auto"/>
        </w:rPr>
      </w:pPr>
      <w:r>
        <w:rPr>
          <w:rFonts w:ascii="Arial" w:cs="Arial" w:eastAsia="Arial" w:hAnsi="Arial"/>
          <w:sz w:val="20"/>
          <w:szCs w:val="20"/>
          <w:color w:val="auto"/>
        </w:rPr>
        <w:t>DeGOLYER and MacNAUGHTON</w:t>
      </w:r>
    </w:p>
    <w:p>
      <w:pPr>
        <w:spacing w:after="0" w:line="40" w:lineRule="exact"/>
        <w:rPr>
          <w:sz w:val="20"/>
          <w:szCs w:val="20"/>
          <w:color w:val="auto"/>
        </w:rPr>
      </w:pPr>
    </w:p>
    <w:p>
      <w:pPr>
        <w:ind w:left="4600"/>
        <w:spacing w:after="0"/>
        <w:rPr>
          <w:sz w:val="20"/>
          <w:szCs w:val="20"/>
          <w:color w:val="auto"/>
        </w:rPr>
      </w:pPr>
      <w:r>
        <w:rPr>
          <w:rFonts w:ascii="Arial" w:cs="Arial" w:eastAsia="Arial" w:hAnsi="Arial"/>
          <w:sz w:val="20"/>
          <w:szCs w:val="20"/>
          <w:color w:val="auto"/>
        </w:rPr>
        <w:t>Texas Registered Engineering Firm F-716</w:t>
      </w:r>
    </w:p>
    <w:p>
      <w:pPr>
        <w:spacing w:after="0" w:line="200" w:lineRule="exact"/>
        <w:rPr>
          <w:sz w:val="20"/>
          <w:szCs w:val="20"/>
          <w:color w:val="auto"/>
        </w:rPr>
      </w:pPr>
    </w:p>
    <w:p>
      <w:pPr>
        <w:spacing w:after="0" w:line="218"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s/ Dilhan Ilk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10160</wp:posOffset>
            </wp:positionV>
            <wp:extent cx="240030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9">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0"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Dilhan Ilk, P.E.</w:t>
      </w:r>
    </w:p>
    <w:p>
      <w:pPr>
        <w:spacing w:after="0" w:line="20" w:lineRule="exact"/>
        <w:rPr>
          <w:sz w:val="20"/>
          <w:szCs w:val="20"/>
          <w:color w:val="auto"/>
        </w:rPr>
      </w:pPr>
    </w:p>
    <w:p>
      <w:pPr>
        <w:ind w:left="2260"/>
        <w:spacing w:after="0"/>
        <w:tabs>
          <w:tab w:leader="none" w:pos="4600" w:val="left"/>
        </w:tabs>
        <w:rPr>
          <w:sz w:val="20"/>
          <w:szCs w:val="20"/>
          <w:color w:val="auto"/>
        </w:rPr>
      </w:pPr>
      <w:r>
        <w:rPr>
          <w:rFonts w:ascii="Arial" w:cs="Arial" w:eastAsia="Arial" w:hAnsi="Arial"/>
          <w:sz w:val="20"/>
          <w:szCs w:val="20"/>
          <w:color w:val="auto"/>
        </w:rPr>
        <w:t>[Seal]</w:t>
      </w:r>
      <w:r>
        <w:rPr>
          <w:sz w:val="20"/>
          <w:szCs w:val="20"/>
          <w:color w:val="auto"/>
        </w:rPr>
        <w:tab/>
      </w:r>
      <w:r>
        <w:rPr>
          <w:rFonts w:ascii="Arial" w:cs="Arial" w:eastAsia="Arial" w:hAnsi="Arial"/>
          <w:sz w:val="20"/>
          <w:szCs w:val="20"/>
          <w:color w:val="auto"/>
        </w:rPr>
        <w:t>Executive Vice President</w:t>
      </w:r>
    </w:p>
    <w:p>
      <w:pPr>
        <w:spacing w:after="0" w:line="60"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DeGolyer and MacNaughton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490220</wp:posOffset>
            </wp:positionV>
            <wp:extent cx="5031740"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0">
                      <a:extLst>
                        <a:ext uri="{28A0092B-C50C-407E-A947-70E740481C1C}"/>
                      </a:extLst>
                    </a:blip>
                    <a:srcRect/>
                    <a:stretch>
                      <a:fillRect/>
                    </a:stretch>
                  </pic:blipFill>
                  <pic:spPr bwMode="auto">
                    <a:xfrm>
                      <a:off x="0" y="0"/>
                      <a:ext cx="5031740" cy="25400"/>
                    </a:xfrm>
                    <a:prstGeom prst="rect">
                      <a:avLst/>
                    </a:prstGeom>
                    <a:noFill/>
                  </pic:spPr>
                </pic:pic>
              </a:graphicData>
            </a:graphic>
          </wp:anchor>
        </w:drawing>
      </w:r>
    </w:p>
    <w:p>
      <w:pPr>
        <w:sectPr>
          <w:pgSz w:w="11900" w:h="16838" w:orient="portrait"/>
          <w:cols w:equalWidth="0" w:num="1">
            <w:col w:w="9440"/>
          </w:cols>
          <w:pgMar w:left="1440" w:top="665" w:right="1019" w:bottom="1440" w:gutter="0" w:footer="0" w:header="0"/>
        </w:sectPr>
      </w:pPr>
    </w:p>
    <w:bookmarkStart w:id="153" w:name="page154"/>
    <w:bookmarkEnd w:id="153"/>
    <w:p>
      <w:pPr>
        <w:ind w:left="880"/>
        <w:spacing w:after="0"/>
        <w:rPr>
          <w:sz w:val="20"/>
          <w:szCs w:val="20"/>
          <w:color w:val="auto"/>
        </w:rPr>
      </w:pPr>
      <w:r>
        <w:rPr>
          <w:rFonts w:ascii="Arial" w:cs="Arial" w:eastAsia="Arial" w:hAnsi="Arial"/>
          <w:sz w:val="16"/>
          <w:szCs w:val="16"/>
          <w:color w:val="auto"/>
        </w:rPr>
        <w:t>DeGolyer and MacNaughton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220"/>
        <w:spacing w:after="0"/>
        <w:rPr>
          <w:sz w:val="20"/>
          <w:szCs w:val="20"/>
          <w:color w:val="auto"/>
        </w:rPr>
      </w:pPr>
      <w:r>
        <w:rPr>
          <w:rFonts w:ascii="Arial" w:cs="Arial" w:eastAsia="Arial" w:hAnsi="Arial"/>
          <w:sz w:val="20"/>
          <w:szCs w:val="20"/>
          <w:b w:val="1"/>
          <w:bCs w:val="1"/>
          <w:u w:val="single" w:color="auto"/>
          <w:color w:val="auto"/>
        </w:rPr>
        <w:t>CERTIFICATE of QUALIFICATION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880" w:right="239" w:firstLine="324"/>
        <w:spacing w:after="0" w:line="317" w:lineRule="auto"/>
        <w:rPr>
          <w:sz w:val="20"/>
          <w:szCs w:val="20"/>
          <w:color w:val="auto"/>
        </w:rPr>
      </w:pPr>
      <w:r>
        <w:rPr>
          <w:rFonts w:ascii="Arial" w:cs="Arial" w:eastAsia="Arial" w:hAnsi="Arial"/>
          <w:sz w:val="20"/>
          <w:szCs w:val="20"/>
          <w:color w:val="auto"/>
        </w:rPr>
        <w:t>I, Dilhan Ilk, Petroleum Engineer with DeGolyer and MacNaughton, 5001 Spring Valley Road, Suite 800 East, Dallas, Texas, 75244 U.S.A., hereby certify:</w:t>
      </w:r>
    </w:p>
    <w:p>
      <w:pPr>
        <w:spacing w:after="0" w:line="256" w:lineRule="exact"/>
        <w:rPr>
          <w:sz w:val="20"/>
          <w:szCs w:val="20"/>
          <w:color w:val="auto"/>
        </w:rPr>
      </w:pPr>
    </w:p>
    <w:p>
      <w:pPr>
        <w:ind w:left="1520" w:right="239" w:hanging="326"/>
        <w:spacing w:after="0" w:line="295" w:lineRule="auto"/>
        <w:tabs>
          <w:tab w:leader="none" w:pos="1520" w:val="left"/>
        </w:tabs>
        <w:numPr>
          <w:ilvl w:val="0"/>
          <w:numId w:val="98"/>
        </w:numPr>
        <w:rPr>
          <w:rFonts w:ascii="Arial" w:cs="Arial" w:eastAsia="Arial" w:hAnsi="Arial"/>
          <w:sz w:val="20"/>
          <w:szCs w:val="20"/>
          <w:color w:val="auto"/>
        </w:rPr>
      </w:pPr>
      <w:r>
        <w:rPr>
          <w:rFonts w:ascii="Arial" w:cs="Arial" w:eastAsia="Arial" w:hAnsi="Arial"/>
          <w:sz w:val="20"/>
          <w:szCs w:val="20"/>
          <w:color w:val="auto"/>
        </w:rPr>
        <w:t>That I am an Executive Vice President with DeGolyer and MacNaughton, which firm did prepare this report of third party addressed to Evolution dated</w:t>
      </w:r>
    </w:p>
    <w:p>
      <w:pPr>
        <w:spacing w:after="0" w:line="1" w:lineRule="exact"/>
        <w:rPr>
          <w:rFonts w:ascii="Arial" w:cs="Arial" w:eastAsia="Arial" w:hAnsi="Arial"/>
          <w:sz w:val="20"/>
          <w:szCs w:val="20"/>
          <w:color w:val="auto"/>
        </w:rPr>
      </w:pPr>
    </w:p>
    <w:p>
      <w:pPr>
        <w:ind w:left="1520" w:right="239"/>
        <w:spacing w:after="0" w:line="331" w:lineRule="auto"/>
        <w:rPr>
          <w:rFonts w:ascii="Arial" w:cs="Arial" w:eastAsia="Arial" w:hAnsi="Arial"/>
          <w:sz w:val="20"/>
          <w:szCs w:val="20"/>
          <w:color w:val="auto"/>
        </w:rPr>
      </w:pPr>
      <w:r>
        <w:rPr>
          <w:rFonts w:ascii="Arial" w:cs="Arial" w:eastAsia="Arial" w:hAnsi="Arial"/>
          <w:sz w:val="20"/>
          <w:szCs w:val="20"/>
          <w:color w:val="auto"/>
        </w:rPr>
        <w:t>August 7, 2023, and that I, as Executive Vice President, was responsible for the preparation of this report of third party.</w:t>
      </w:r>
    </w:p>
    <w:p>
      <w:pPr>
        <w:spacing w:after="0" w:line="229" w:lineRule="exact"/>
        <w:rPr>
          <w:rFonts w:ascii="Arial" w:cs="Arial" w:eastAsia="Arial" w:hAnsi="Arial"/>
          <w:sz w:val="20"/>
          <w:szCs w:val="20"/>
          <w:color w:val="auto"/>
        </w:rPr>
      </w:pPr>
    </w:p>
    <w:p>
      <w:pPr>
        <w:jc w:val="both"/>
        <w:ind w:left="1520" w:right="219" w:hanging="326"/>
        <w:spacing w:after="0" w:line="322" w:lineRule="auto"/>
        <w:tabs>
          <w:tab w:leader="none" w:pos="1520" w:val="left"/>
        </w:tabs>
        <w:numPr>
          <w:ilvl w:val="0"/>
          <w:numId w:val="98"/>
        </w:numPr>
        <w:rPr>
          <w:rFonts w:ascii="Arial" w:cs="Arial" w:eastAsia="Arial" w:hAnsi="Arial"/>
          <w:sz w:val="19"/>
          <w:szCs w:val="19"/>
          <w:color w:val="auto"/>
        </w:rPr>
      </w:pPr>
      <w:r>
        <w:rPr>
          <w:rFonts w:ascii="Arial" w:cs="Arial" w:eastAsia="Arial" w:hAnsi="Arial"/>
          <w:sz w:val="19"/>
          <w:szCs w:val="19"/>
          <w:color w:val="auto"/>
        </w:rPr>
        <w:t>That I attended Istanbul Technical University, and that I graduated with a Bachelor of Science degree in Petroleum Engineering in the year 2003, a Master of Science degree in Petroleum Engineering from Texas A&amp;M University in 2005, and a Doctor of Philosophy degree in Petroleum Engineering from Texas A&amp;M University in 2010; that I am a Registered Professional Engineer in the State of Texas; that I am a member of the Society of Petroleum Engineers; and that I have in excess of 13 years of experience in oil and gas reservoir studies and reserves evaluations.</w:t>
      </w:r>
    </w:p>
    <w:p>
      <w:pPr>
        <w:spacing w:after="0" w:line="135"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s/ Dilhan Ilk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10160</wp:posOffset>
            </wp:positionV>
            <wp:extent cx="24003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1">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0"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Dilhan Ilk, P.E.</w:t>
      </w:r>
    </w:p>
    <w:p>
      <w:pPr>
        <w:spacing w:after="0" w:line="20" w:lineRule="exact"/>
        <w:rPr>
          <w:sz w:val="20"/>
          <w:szCs w:val="20"/>
          <w:color w:val="auto"/>
        </w:rPr>
      </w:pPr>
    </w:p>
    <w:p>
      <w:pPr>
        <w:ind w:left="2260"/>
        <w:spacing w:after="0"/>
        <w:tabs>
          <w:tab w:leader="none" w:pos="4600" w:val="left"/>
        </w:tabs>
        <w:rPr>
          <w:sz w:val="20"/>
          <w:szCs w:val="20"/>
          <w:color w:val="auto"/>
        </w:rPr>
      </w:pPr>
      <w:r>
        <w:rPr>
          <w:rFonts w:ascii="Arial" w:cs="Arial" w:eastAsia="Arial" w:hAnsi="Arial"/>
          <w:sz w:val="20"/>
          <w:szCs w:val="20"/>
          <w:color w:val="auto"/>
        </w:rPr>
        <w:t>[Seal]</w:t>
      </w:r>
      <w:r>
        <w:rPr>
          <w:sz w:val="20"/>
          <w:szCs w:val="20"/>
          <w:color w:val="auto"/>
        </w:rPr>
        <w:tab/>
      </w:r>
      <w:r>
        <w:rPr>
          <w:rFonts w:ascii="Arial" w:cs="Arial" w:eastAsia="Arial" w:hAnsi="Arial"/>
          <w:sz w:val="20"/>
          <w:szCs w:val="20"/>
          <w:color w:val="auto"/>
        </w:rPr>
        <w:t>Executive Vice President</w:t>
      </w:r>
    </w:p>
    <w:p>
      <w:pPr>
        <w:spacing w:after="0" w:line="60"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DeGolyer and MacNaughton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490220</wp:posOffset>
            </wp:positionV>
            <wp:extent cx="5031740"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2">
                      <a:extLst>
                        <a:ext uri="{28A0092B-C50C-407E-A947-70E740481C1C}"/>
                      </a:extLst>
                    </a:blip>
                    <a:srcRect/>
                    <a:stretch>
                      <a:fillRect/>
                    </a:stretch>
                  </pic:blipFill>
                  <pic:spPr bwMode="auto">
                    <a:xfrm>
                      <a:off x="0" y="0"/>
                      <a:ext cx="5031740" cy="25400"/>
                    </a:xfrm>
                    <a:prstGeom prst="rect">
                      <a:avLst/>
                    </a:prstGeom>
                    <a:noFill/>
                  </pic:spPr>
                </pic:pic>
              </a:graphicData>
            </a:graphic>
          </wp:anchor>
        </w:drawing>
      </w:r>
    </w:p>
    <w:p>
      <w:pPr>
        <w:sectPr>
          <w:pgSz w:w="11900" w:h="16838" w:orient="portrait"/>
          <w:cols w:equalWidth="0" w:num="1">
            <w:col w:w="9019"/>
          </w:cols>
          <w:pgMar w:left="1440" w:top="670" w:right="1440" w:bottom="1440" w:gutter="0" w:footer="0" w:header="0"/>
        </w:sectPr>
      </w:pPr>
    </w:p>
    <w:bookmarkStart w:id="154" w:name="page155"/>
    <w:bookmarkEnd w:id="154"/>
    <w:p>
      <w:pPr>
        <w:jc w:val="right"/>
        <w:ind w:right="219"/>
        <w:spacing w:after="0"/>
        <w:rPr>
          <w:sz w:val="20"/>
          <w:szCs w:val="20"/>
          <w:color w:val="auto"/>
        </w:rPr>
      </w:pPr>
      <w:r>
        <w:rPr>
          <w:rFonts w:ascii="Arial" w:cs="Arial" w:eastAsia="Arial" w:hAnsi="Arial"/>
          <w:sz w:val="22"/>
          <w:szCs w:val="22"/>
          <w:b w:val="1"/>
          <w:bCs w:val="1"/>
          <w:color w:val="auto"/>
        </w:rPr>
        <w:t>EXHIBIT 97</w:t>
      </w:r>
    </w:p>
    <w:p>
      <w:pPr>
        <w:spacing w:after="0" w:line="207" w:lineRule="exact"/>
        <w:rPr>
          <w:sz w:val="20"/>
          <w:szCs w:val="20"/>
          <w:color w:val="auto"/>
        </w:rPr>
      </w:pPr>
    </w:p>
    <w:p>
      <w:pPr>
        <w:jc w:val="center"/>
        <w:ind w:left="200" w:right="219"/>
        <w:spacing w:after="0" w:line="448" w:lineRule="auto"/>
        <w:rPr>
          <w:sz w:val="20"/>
          <w:szCs w:val="20"/>
          <w:color w:val="auto"/>
        </w:rPr>
      </w:pPr>
      <w:r>
        <w:rPr>
          <w:rFonts w:ascii="Arial" w:cs="Arial" w:eastAsia="Arial" w:hAnsi="Arial"/>
          <w:sz w:val="22"/>
          <w:szCs w:val="22"/>
          <w:b w:val="1"/>
          <w:bCs w:val="1"/>
          <w:color w:val="auto"/>
        </w:rPr>
        <w:t>Evolution Petroleum Corporation Incentive Compensation Recoupment Policy (the “Policy”) Effective as of September 7, 2023</w:t>
      </w:r>
    </w:p>
    <w:p>
      <w:pPr>
        <w:spacing w:after="0" w:line="200" w:lineRule="exact"/>
        <w:rPr>
          <w:sz w:val="20"/>
          <w:szCs w:val="20"/>
          <w:color w:val="auto"/>
        </w:rPr>
      </w:pPr>
    </w:p>
    <w:p>
      <w:pPr>
        <w:spacing w:after="0" w:line="219" w:lineRule="exact"/>
        <w:rPr>
          <w:sz w:val="20"/>
          <w:szCs w:val="20"/>
          <w:color w:val="auto"/>
        </w:rPr>
      </w:pPr>
    </w:p>
    <w:p>
      <w:pPr>
        <w:ind w:left="860" w:hanging="651"/>
        <w:spacing w:after="0"/>
        <w:tabs>
          <w:tab w:leader="none" w:pos="860" w:val="left"/>
        </w:tabs>
        <w:numPr>
          <w:ilvl w:val="0"/>
          <w:numId w:val="99"/>
        </w:numPr>
        <w:rPr>
          <w:rFonts w:ascii="Arial" w:cs="Arial" w:eastAsia="Arial" w:hAnsi="Arial"/>
          <w:sz w:val="22"/>
          <w:szCs w:val="22"/>
          <w:b w:val="1"/>
          <w:bCs w:val="1"/>
          <w:color w:val="auto"/>
        </w:rPr>
      </w:pPr>
      <w:r>
        <w:rPr>
          <w:rFonts w:ascii="Arial" w:cs="Arial" w:eastAsia="Arial" w:hAnsi="Arial"/>
          <w:sz w:val="22"/>
          <w:szCs w:val="22"/>
          <w:b w:val="1"/>
          <w:bCs w:val="1"/>
          <w:color w:val="auto"/>
        </w:rPr>
        <w:t>Recoupment</w:t>
      </w:r>
    </w:p>
    <w:p>
      <w:pPr>
        <w:spacing w:after="0" w:line="212" w:lineRule="exact"/>
        <w:rPr>
          <w:sz w:val="20"/>
          <w:szCs w:val="20"/>
          <w:color w:val="auto"/>
        </w:rPr>
      </w:pPr>
    </w:p>
    <w:p>
      <w:pPr>
        <w:jc w:val="both"/>
        <w:ind w:left="200" w:right="219"/>
        <w:spacing w:after="0" w:line="271" w:lineRule="auto"/>
        <w:rPr>
          <w:sz w:val="20"/>
          <w:szCs w:val="20"/>
          <w:color w:val="auto"/>
        </w:rPr>
      </w:pPr>
      <w:r>
        <w:rPr>
          <w:rFonts w:ascii="Arial" w:cs="Arial" w:eastAsia="Arial" w:hAnsi="Arial"/>
          <w:sz w:val="19"/>
          <w:szCs w:val="19"/>
          <w:color w:val="auto"/>
        </w:rPr>
        <w:t>If Evolution Petroleum Corporation (the “Company”) is required to prepare a Restatement, the Company’s board of directors (the “Board”) shall, unless the Board’s Compensation Committee determines it to be Impracticable, take reasonably prompt action to recoup all Recoverable Compensation from any Covered Person. Subject to applicable law, the Board may seek to recoup Recoverable Compensation by requiring a Covered Person to repay such amount to the Company; by adding “holdback” or deferral policies to incentive compensation; by adding post-vesting “holding” or “no transfer” policies to equity awards; by set-off of a Covered Person’s other compensation; by reducing future compensation; or by such other means or combination of means as the Board, in its sole discretion, determines to be appropriate. This Policy is in addition to (and not in lieu of) any right of repayment, forfeiture or off-set against any Covered Person that may be available under applicable law or otherwise (whether implemented prior to or after adoption of this Policy). The Board may, in its sole discretion and in the exercise of its business judgment, determine whether and to what extent additional action is appropriate to address the circumstances surrounding any Restatement to minimize the likelihood of any recurrence and to impose such other discipline as it deems appropriate.</w:t>
      </w:r>
    </w:p>
    <w:p>
      <w:pPr>
        <w:spacing w:after="0" w:line="200" w:lineRule="exact"/>
        <w:rPr>
          <w:sz w:val="20"/>
          <w:szCs w:val="20"/>
          <w:color w:val="auto"/>
        </w:rPr>
      </w:pPr>
    </w:p>
    <w:p>
      <w:pPr>
        <w:spacing w:after="0" w:line="201" w:lineRule="exact"/>
        <w:rPr>
          <w:sz w:val="20"/>
          <w:szCs w:val="20"/>
          <w:color w:val="auto"/>
        </w:rPr>
      </w:pPr>
    </w:p>
    <w:p>
      <w:pPr>
        <w:ind w:left="860" w:hanging="651"/>
        <w:spacing w:after="0"/>
        <w:tabs>
          <w:tab w:leader="none" w:pos="860" w:val="left"/>
        </w:tabs>
        <w:numPr>
          <w:ilvl w:val="0"/>
          <w:numId w:val="100"/>
        </w:numPr>
        <w:rPr>
          <w:rFonts w:ascii="Arial" w:cs="Arial" w:eastAsia="Arial" w:hAnsi="Arial"/>
          <w:sz w:val="22"/>
          <w:szCs w:val="22"/>
          <w:b w:val="1"/>
          <w:bCs w:val="1"/>
          <w:color w:val="auto"/>
        </w:rPr>
      </w:pPr>
      <w:r>
        <w:rPr>
          <w:rFonts w:ascii="Arial" w:cs="Arial" w:eastAsia="Arial" w:hAnsi="Arial"/>
          <w:sz w:val="22"/>
          <w:szCs w:val="22"/>
          <w:b w:val="1"/>
          <w:bCs w:val="1"/>
          <w:color w:val="auto"/>
        </w:rPr>
        <w:t>Administration of Policy</w:t>
      </w:r>
    </w:p>
    <w:p>
      <w:pPr>
        <w:spacing w:after="0" w:line="212" w:lineRule="exact"/>
        <w:rPr>
          <w:sz w:val="20"/>
          <w:szCs w:val="20"/>
          <w:color w:val="auto"/>
        </w:rPr>
      </w:pPr>
    </w:p>
    <w:p>
      <w:pPr>
        <w:jc w:val="both"/>
        <w:ind w:left="200" w:right="219"/>
        <w:spacing w:after="0" w:line="248" w:lineRule="auto"/>
        <w:rPr>
          <w:sz w:val="20"/>
          <w:szCs w:val="20"/>
          <w:color w:val="auto"/>
        </w:rPr>
      </w:pPr>
      <w:r>
        <w:rPr>
          <w:rFonts w:ascii="Arial" w:cs="Arial" w:eastAsia="Arial" w:hAnsi="Arial"/>
          <w:sz w:val="21"/>
          <w:szCs w:val="21"/>
          <w:color w:val="auto"/>
        </w:rPr>
        <w:t>The Board shall have full authority to administer, amend or terminate this Policy. The Board shall, subject to the provisions of this Policy, make such determinations and interpretations and take such actions in connection with this Policy as it deems necessary, appropriate or advisable. All determinations and interpretations made by the Board shall be final, binding and conclusive. The Board may delegate any of its powers under this Policy to the Compensation Committee of the Board or any subcommittee or delegate thereof.</w:t>
      </w:r>
    </w:p>
    <w:p>
      <w:pPr>
        <w:spacing w:after="0" w:line="171" w:lineRule="exact"/>
        <w:rPr>
          <w:sz w:val="20"/>
          <w:szCs w:val="20"/>
          <w:color w:val="auto"/>
        </w:rPr>
      </w:pPr>
    </w:p>
    <w:p>
      <w:pPr>
        <w:ind w:left="860" w:hanging="651"/>
        <w:spacing w:after="0"/>
        <w:tabs>
          <w:tab w:leader="none" w:pos="860" w:val="left"/>
        </w:tabs>
        <w:numPr>
          <w:ilvl w:val="0"/>
          <w:numId w:val="101"/>
        </w:numPr>
        <w:rPr>
          <w:rFonts w:ascii="Arial" w:cs="Arial" w:eastAsia="Arial" w:hAnsi="Arial"/>
          <w:sz w:val="22"/>
          <w:szCs w:val="22"/>
          <w:b w:val="1"/>
          <w:bCs w:val="1"/>
          <w:color w:val="auto"/>
        </w:rPr>
      </w:pPr>
      <w:r>
        <w:rPr>
          <w:rFonts w:ascii="Arial" w:cs="Arial" w:eastAsia="Arial" w:hAnsi="Arial"/>
          <w:sz w:val="22"/>
          <w:szCs w:val="22"/>
          <w:b w:val="1"/>
          <w:bCs w:val="1"/>
          <w:color w:val="auto"/>
        </w:rPr>
        <w:t>Acknowledgement by Executive Officers</w:t>
      </w:r>
    </w:p>
    <w:p>
      <w:pPr>
        <w:spacing w:after="0" w:line="212" w:lineRule="exact"/>
        <w:rPr>
          <w:sz w:val="20"/>
          <w:szCs w:val="20"/>
          <w:color w:val="auto"/>
        </w:rPr>
      </w:pPr>
    </w:p>
    <w:p>
      <w:pPr>
        <w:jc w:val="both"/>
        <w:ind w:left="200" w:right="219"/>
        <w:spacing w:after="0" w:line="257" w:lineRule="auto"/>
        <w:rPr>
          <w:sz w:val="20"/>
          <w:szCs w:val="20"/>
          <w:color w:val="auto"/>
        </w:rPr>
      </w:pPr>
      <w:r>
        <w:rPr>
          <w:rFonts w:ascii="Arial" w:cs="Arial" w:eastAsia="Arial" w:hAnsi="Arial"/>
          <w:sz w:val="21"/>
          <w:szCs w:val="21"/>
          <w:color w:val="auto"/>
        </w:rPr>
        <w:t>The Board shall provide notice to and seek written acknowledgement of this Policy from each Executive Officer; provided that the failure to provide such notice or obtain such acknowledgement shall have no impact on the applicability or enforceability of this Policy.</w:t>
      </w:r>
    </w:p>
    <w:p>
      <w:pPr>
        <w:spacing w:after="0" w:line="163" w:lineRule="exact"/>
        <w:rPr>
          <w:sz w:val="20"/>
          <w:szCs w:val="20"/>
          <w:color w:val="auto"/>
        </w:rPr>
      </w:pPr>
    </w:p>
    <w:p>
      <w:pPr>
        <w:ind w:left="860" w:hanging="651"/>
        <w:spacing w:after="0"/>
        <w:tabs>
          <w:tab w:leader="none" w:pos="860" w:val="left"/>
        </w:tabs>
        <w:numPr>
          <w:ilvl w:val="0"/>
          <w:numId w:val="102"/>
        </w:numPr>
        <w:rPr>
          <w:rFonts w:ascii="Arial" w:cs="Arial" w:eastAsia="Arial" w:hAnsi="Arial"/>
          <w:sz w:val="22"/>
          <w:szCs w:val="22"/>
          <w:b w:val="1"/>
          <w:bCs w:val="1"/>
          <w:color w:val="auto"/>
        </w:rPr>
      </w:pPr>
      <w:r>
        <w:rPr>
          <w:rFonts w:ascii="Arial" w:cs="Arial" w:eastAsia="Arial" w:hAnsi="Arial"/>
          <w:sz w:val="22"/>
          <w:szCs w:val="22"/>
          <w:b w:val="1"/>
          <w:bCs w:val="1"/>
          <w:color w:val="auto"/>
        </w:rPr>
        <w:t>No Indemnification</w:t>
      </w:r>
    </w:p>
    <w:p>
      <w:pPr>
        <w:spacing w:after="0" w:line="212" w:lineRule="exact"/>
        <w:rPr>
          <w:sz w:val="20"/>
          <w:szCs w:val="20"/>
          <w:color w:val="auto"/>
        </w:rPr>
      </w:pPr>
    </w:p>
    <w:p>
      <w:pPr>
        <w:jc w:val="both"/>
        <w:ind w:left="200" w:right="219"/>
        <w:spacing w:after="0"/>
        <w:rPr>
          <w:sz w:val="20"/>
          <w:szCs w:val="20"/>
          <w:color w:val="auto"/>
        </w:rPr>
      </w:pPr>
      <w:r>
        <w:rPr>
          <w:rFonts w:ascii="Arial" w:cs="Arial" w:eastAsia="Arial" w:hAnsi="Arial"/>
          <w:sz w:val="22"/>
          <w:szCs w:val="22"/>
          <w:color w:val="auto"/>
        </w:rPr>
        <w:t>Notwithstanding the terms of any of the Company’s organizational documents, any corporate policy or any contract, no Covered Person shall be indemnified against the loss of any Recoverable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568960</wp:posOffset>
            </wp:positionV>
            <wp:extent cx="5452110"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55" w:name="page156"/>
    <w:bookmarkEnd w:id="155"/>
    <w:p>
      <w:pPr>
        <w:jc w:val="center"/>
        <w:ind w:left="200" w:right="219"/>
        <w:spacing w:after="0" w:line="448" w:lineRule="auto"/>
        <w:rPr>
          <w:sz w:val="20"/>
          <w:szCs w:val="20"/>
          <w:color w:val="auto"/>
        </w:rPr>
      </w:pPr>
      <w:r>
        <w:rPr>
          <w:rFonts w:ascii="Arial" w:cs="Arial" w:eastAsia="Arial" w:hAnsi="Arial"/>
          <w:sz w:val="22"/>
          <w:szCs w:val="22"/>
          <w:b w:val="1"/>
          <w:bCs w:val="1"/>
          <w:color w:val="auto"/>
        </w:rPr>
        <w:t>Evolution Petroleum Corporation Incentive Compensation Recoupment Policy (the “Policy”) Effective as of September 7, 2023</w:t>
      </w:r>
    </w:p>
    <w:p>
      <w:pPr>
        <w:spacing w:after="0" w:line="200" w:lineRule="exact"/>
        <w:rPr>
          <w:sz w:val="20"/>
          <w:szCs w:val="20"/>
          <w:color w:val="auto"/>
        </w:rPr>
      </w:pPr>
    </w:p>
    <w:p>
      <w:pPr>
        <w:spacing w:after="0" w:line="219" w:lineRule="exact"/>
        <w:rPr>
          <w:sz w:val="20"/>
          <w:szCs w:val="20"/>
          <w:color w:val="auto"/>
        </w:rPr>
      </w:pPr>
    </w:p>
    <w:p>
      <w:pPr>
        <w:ind w:left="860" w:hanging="651"/>
        <w:spacing w:after="0"/>
        <w:tabs>
          <w:tab w:leader="none" w:pos="860" w:val="left"/>
        </w:tabs>
        <w:numPr>
          <w:ilvl w:val="0"/>
          <w:numId w:val="103"/>
        </w:numPr>
        <w:rPr>
          <w:rFonts w:ascii="Arial" w:cs="Arial" w:eastAsia="Arial" w:hAnsi="Arial"/>
          <w:sz w:val="22"/>
          <w:szCs w:val="22"/>
          <w:b w:val="1"/>
          <w:bCs w:val="1"/>
          <w:color w:val="auto"/>
        </w:rPr>
      </w:pPr>
      <w:r>
        <w:rPr>
          <w:rFonts w:ascii="Arial" w:cs="Arial" w:eastAsia="Arial" w:hAnsi="Arial"/>
          <w:sz w:val="22"/>
          <w:szCs w:val="22"/>
          <w:b w:val="1"/>
          <w:bCs w:val="1"/>
          <w:color w:val="auto"/>
        </w:rPr>
        <w:t>Disclosures</w:t>
      </w:r>
    </w:p>
    <w:p>
      <w:pPr>
        <w:spacing w:after="0" w:line="212" w:lineRule="exact"/>
        <w:rPr>
          <w:sz w:val="20"/>
          <w:szCs w:val="20"/>
          <w:color w:val="auto"/>
        </w:rPr>
      </w:pPr>
    </w:p>
    <w:p>
      <w:pPr>
        <w:jc w:val="both"/>
        <w:ind w:left="200" w:right="219"/>
        <w:spacing w:after="0" w:line="236" w:lineRule="auto"/>
        <w:rPr>
          <w:sz w:val="20"/>
          <w:szCs w:val="20"/>
          <w:color w:val="auto"/>
        </w:rPr>
      </w:pPr>
      <w:r>
        <w:rPr>
          <w:rFonts w:ascii="Arial" w:cs="Arial" w:eastAsia="Arial" w:hAnsi="Arial"/>
          <w:sz w:val="22"/>
          <w:szCs w:val="22"/>
          <w:color w:val="auto"/>
        </w:rPr>
        <w:t>The Company shall make all disclosures and filings with respect to this Policy and maintain all documents and records that are required by the applicable rules and forms of the U.S. Securities and Exchange Commission (the “SEC”) (including, without limitation, Rule 10D-1 promulgated under the Securities Exchange Act of 1934, as amended (the “Exchange Act”)) and any applicable exchange listing standard.</w:t>
      </w:r>
    </w:p>
    <w:p>
      <w:pPr>
        <w:spacing w:after="0" w:line="181" w:lineRule="exact"/>
        <w:rPr>
          <w:sz w:val="20"/>
          <w:szCs w:val="20"/>
          <w:color w:val="auto"/>
        </w:rPr>
      </w:pPr>
    </w:p>
    <w:p>
      <w:pPr>
        <w:ind w:left="860" w:hanging="651"/>
        <w:spacing w:after="0"/>
        <w:tabs>
          <w:tab w:leader="none" w:pos="860" w:val="left"/>
        </w:tabs>
        <w:numPr>
          <w:ilvl w:val="0"/>
          <w:numId w:val="104"/>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12" w:lineRule="exact"/>
        <w:rPr>
          <w:sz w:val="20"/>
          <w:szCs w:val="20"/>
          <w:color w:val="auto"/>
        </w:rPr>
      </w:pPr>
    </w:p>
    <w:p>
      <w:pPr>
        <w:jc w:val="both"/>
        <w:ind w:left="200" w:right="219"/>
        <w:spacing w:after="0" w:line="250" w:lineRule="auto"/>
        <w:rPr>
          <w:sz w:val="20"/>
          <w:szCs w:val="20"/>
          <w:color w:val="auto"/>
        </w:rPr>
      </w:pPr>
      <w:r>
        <w:rPr>
          <w:rFonts w:ascii="Arial" w:cs="Arial" w:eastAsia="Arial" w:hAnsi="Arial"/>
          <w:sz w:val="22"/>
          <w:szCs w:val="22"/>
          <w:color w:val="auto"/>
        </w:rPr>
        <w:t>In addition to terms otherwise defined in this Policy, the following terms, when used in this Policy, shall have the following meanings:</w:t>
      </w:r>
    </w:p>
    <w:p>
      <w:pPr>
        <w:spacing w:after="0" w:line="169" w:lineRule="exact"/>
        <w:rPr>
          <w:sz w:val="20"/>
          <w:szCs w:val="20"/>
          <w:color w:val="auto"/>
        </w:rPr>
      </w:pPr>
    </w:p>
    <w:p>
      <w:pPr>
        <w:jc w:val="both"/>
        <w:ind w:left="200" w:right="219"/>
        <w:spacing w:after="0" w:line="283" w:lineRule="auto"/>
        <w:rPr>
          <w:sz w:val="20"/>
          <w:szCs w:val="20"/>
          <w:color w:val="auto"/>
        </w:rPr>
      </w:pPr>
      <w:r>
        <w:rPr>
          <w:rFonts w:ascii="Arial" w:cs="Arial" w:eastAsia="Arial" w:hAnsi="Arial"/>
          <w:sz w:val="19"/>
          <w:szCs w:val="19"/>
          <w:b w:val="1"/>
          <w:bCs w:val="1"/>
          <w:color w:val="auto"/>
        </w:rPr>
        <w:t xml:space="preserve">“Applicable Period” </w:t>
      </w:r>
      <w:r>
        <w:rPr>
          <w:rFonts w:ascii="Arial" w:cs="Arial" w:eastAsia="Arial" w:hAnsi="Arial"/>
          <w:sz w:val="19"/>
          <w:szCs w:val="19"/>
          <w:color w:val="auto"/>
        </w:rPr>
        <w:t>means the three completed fiscal years preceding the earlier of: (i) the date</w:t>
      </w:r>
      <w:r>
        <w:rPr>
          <w:rFonts w:ascii="Arial" w:cs="Arial" w:eastAsia="Arial" w:hAnsi="Arial"/>
          <w:sz w:val="19"/>
          <w:szCs w:val="19"/>
          <w:b w:val="1"/>
          <w:bCs w:val="1"/>
          <w:color w:val="auto"/>
        </w:rPr>
        <w:t xml:space="preserve"> </w:t>
      </w:r>
      <w:r>
        <w:rPr>
          <w:rFonts w:ascii="Arial" w:cs="Arial" w:eastAsia="Arial" w:hAnsi="Arial"/>
          <w:sz w:val="19"/>
          <w:szCs w:val="19"/>
          <w:color w:val="auto"/>
        </w:rPr>
        <w:t>that the Board, a committee of the Board, or the officer or officers of the Company authorized to take such action if Board action is not required, concludes, or reasonably should have concluded, that the Company is required to prepare a Restatement; or (ii) the date a court, regulator, or other legally authorized body directs the Company to prepare a Restatement.</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 xml:space="preserve">“Covered Person” </w:t>
      </w:r>
      <w:r>
        <w:rPr>
          <w:rFonts w:ascii="Arial" w:cs="Arial" w:eastAsia="Arial" w:hAnsi="Arial"/>
          <w:sz w:val="22"/>
          <w:szCs w:val="22"/>
          <w:color w:val="auto"/>
        </w:rPr>
        <w:t>means any person who receives Recoverable Compensation.</w:t>
      </w:r>
    </w:p>
    <w:p>
      <w:pPr>
        <w:spacing w:after="0" w:line="206" w:lineRule="exact"/>
        <w:rPr>
          <w:sz w:val="20"/>
          <w:szCs w:val="20"/>
          <w:color w:val="auto"/>
        </w:rPr>
      </w:pPr>
    </w:p>
    <w:p>
      <w:pPr>
        <w:jc w:val="both"/>
        <w:ind w:left="200" w:right="219"/>
        <w:spacing w:after="0" w:line="249" w:lineRule="auto"/>
        <w:rPr>
          <w:sz w:val="20"/>
          <w:szCs w:val="20"/>
          <w:color w:val="auto"/>
        </w:rPr>
      </w:pPr>
      <w:r>
        <w:rPr>
          <w:rFonts w:ascii="Arial" w:cs="Arial" w:eastAsia="Arial" w:hAnsi="Arial"/>
          <w:sz w:val="21"/>
          <w:szCs w:val="21"/>
          <w:b w:val="1"/>
          <w:bCs w:val="1"/>
          <w:color w:val="auto"/>
        </w:rPr>
        <w:t xml:space="preserve">“Executive Officer” </w:t>
      </w:r>
      <w:r>
        <w:rPr>
          <w:rFonts w:ascii="Arial" w:cs="Arial" w:eastAsia="Arial" w:hAnsi="Arial"/>
          <w:sz w:val="21"/>
          <w:szCs w:val="21"/>
          <w:color w:val="auto"/>
        </w:rPr>
        <w:t>includes the Company’s principal executive officer, principal financial</w:t>
      </w:r>
      <w:r>
        <w:rPr>
          <w:rFonts w:ascii="Arial" w:cs="Arial" w:eastAsia="Arial" w:hAnsi="Arial"/>
          <w:sz w:val="21"/>
          <w:szCs w:val="21"/>
          <w:b w:val="1"/>
          <w:bCs w:val="1"/>
          <w:color w:val="auto"/>
        </w:rPr>
        <w:t xml:space="preserve"> </w:t>
      </w:r>
      <w:r>
        <w:rPr>
          <w:rFonts w:ascii="Arial" w:cs="Arial" w:eastAsia="Arial" w:hAnsi="Arial"/>
          <w:sz w:val="21"/>
          <w:szCs w:val="21"/>
          <w:color w:val="auto"/>
        </w:rPr>
        <w:t>officer, principal accounting officer (or if there is no such accounting officer, the controller), president, any vice-president of the Company in charge of a principal business unit, division, or function (such as sales, administration, or finance), any other officer who performs a policy-making function, or any other person (including any executive officer of the Company’s affiliates) who performs similar policy-making functions for the Company.</w:t>
      </w:r>
    </w:p>
    <w:p>
      <w:pPr>
        <w:spacing w:after="0" w:line="171" w:lineRule="exact"/>
        <w:rPr>
          <w:sz w:val="20"/>
          <w:szCs w:val="20"/>
          <w:color w:val="auto"/>
        </w:rPr>
      </w:pPr>
    </w:p>
    <w:p>
      <w:pPr>
        <w:jc w:val="both"/>
        <w:ind w:left="200" w:right="219"/>
        <w:spacing w:after="0" w:line="276" w:lineRule="auto"/>
        <w:rPr>
          <w:sz w:val="20"/>
          <w:szCs w:val="20"/>
          <w:color w:val="auto"/>
        </w:rPr>
      </w:pPr>
      <w:r>
        <w:rPr>
          <w:rFonts w:ascii="Arial" w:cs="Arial" w:eastAsia="Arial" w:hAnsi="Arial"/>
          <w:sz w:val="19"/>
          <w:szCs w:val="19"/>
          <w:b w:val="1"/>
          <w:bCs w:val="1"/>
          <w:color w:val="auto"/>
        </w:rPr>
        <w:t xml:space="preserve">“Financial Reporting Measure” </w:t>
      </w:r>
      <w:r>
        <w:rPr>
          <w:rFonts w:ascii="Arial" w:cs="Arial" w:eastAsia="Arial" w:hAnsi="Arial"/>
          <w:sz w:val="19"/>
          <w:szCs w:val="19"/>
          <w:color w:val="auto"/>
        </w:rPr>
        <w:t>means a measure that is determined and presented in accordance</w:t>
      </w:r>
      <w:r>
        <w:rPr>
          <w:rFonts w:ascii="Arial" w:cs="Arial" w:eastAsia="Arial" w:hAnsi="Arial"/>
          <w:sz w:val="19"/>
          <w:szCs w:val="19"/>
          <w:b w:val="1"/>
          <w:bCs w:val="1"/>
          <w:color w:val="auto"/>
        </w:rPr>
        <w:t xml:space="preserve"> </w:t>
      </w:r>
      <w:r>
        <w:rPr>
          <w:rFonts w:ascii="Arial" w:cs="Arial" w:eastAsia="Arial" w:hAnsi="Arial"/>
          <w:sz w:val="19"/>
          <w:szCs w:val="19"/>
          <w:color w:val="auto"/>
        </w:rPr>
        <w:t>with the accounting principles used in preparing the Company’s financial statements (including “non-GAAP” financial measures, such as those appearing in earnings releases), and any measure that is derived wholly or in part from such measure. Examples of Financial Reporting Measures include measures based on: revenues, net income, operating income, financial ratios, EBITDA, liquidity measures, return measures (such as return on assets), profitability of one or more segments, sales per square foot, same store sales, revenue per user, and cost per employee. Stock price and total shareholder return (“TSR”) also are Financial Reporting Measures.</w:t>
      </w:r>
    </w:p>
    <w:p>
      <w:pPr>
        <w:spacing w:after="0" w:line="150" w:lineRule="exact"/>
        <w:rPr>
          <w:sz w:val="20"/>
          <w:szCs w:val="20"/>
          <w:color w:val="auto"/>
        </w:rPr>
      </w:pPr>
    </w:p>
    <w:p>
      <w:pPr>
        <w:jc w:val="both"/>
        <w:ind w:left="200" w:right="219"/>
        <w:spacing w:after="0" w:line="280" w:lineRule="auto"/>
        <w:rPr>
          <w:sz w:val="20"/>
          <w:szCs w:val="20"/>
          <w:color w:val="auto"/>
        </w:rPr>
      </w:pPr>
      <w:r>
        <w:rPr>
          <w:rFonts w:ascii="Arial" w:cs="Arial" w:eastAsia="Arial" w:hAnsi="Arial"/>
          <w:sz w:val="19"/>
          <w:szCs w:val="19"/>
          <w:b w:val="1"/>
          <w:bCs w:val="1"/>
          <w:color w:val="auto"/>
        </w:rPr>
        <w:t xml:space="preserve">“Impracticable” </w:t>
      </w:r>
      <w:r>
        <w:rPr>
          <w:rFonts w:ascii="Arial" w:cs="Arial" w:eastAsia="Arial" w:hAnsi="Arial"/>
          <w:sz w:val="19"/>
          <w:szCs w:val="19"/>
          <w:color w:val="auto"/>
        </w:rPr>
        <w:t>means, after exercising a normal due process review of all the relevant facts and</w:t>
      </w:r>
      <w:r>
        <w:rPr>
          <w:rFonts w:ascii="Arial" w:cs="Arial" w:eastAsia="Arial" w:hAnsi="Arial"/>
          <w:sz w:val="19"/>
          <w:szCs w:val="19"/>
          <w:b w:val="1"/>
          <w:bCs w:val="1"/>
          <w:color w:val="auto"/>
        </w:rPr>
        <w:t xml:space="preserve"> </w:t>
      </w:r>
      <w:r>
        <w:rPr>
          <w:rFonts w:ascii="Arial" w:cs="Arial" w:eastAsia="Arial" w:hAnsi="Arial"/>
          <w:sz w:val="19"/>
          <w:szCs w:val="19"/>
          <w:color w:val="auto"/>
        </w:rPr>
        <w:t>circumstances and taking all steps required by Exchange Act Rule 10D-1 and any applicable exchange listing standard, the Compensation Committee determines that recovery of the Incentive-Based Compensation is impracticable because: (i) it has determined that the direct expense that the Company would pay to a third party to assist in recovering the Incentive-Based Compensation would exceed the amount to be recovered; (ii) it has concluded that the recovery of the Incentive-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2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156" w:name="page157"/>
    <w:bookmarkEnd w:id="156"/>
    <w:p>
      <w:pPr>
        <w:jc w:val="center"/>
        <w:ind w:left="200" w:right="219"/>
        <w:spacing w:after="0" w:line="448" w:lineRule="auto"/>
        <w:rPr>
          <w:sz w:val="20"/>
          <w:szCs w:val="20"/>
          <w:color w:val="auto"/>
        </w:rPr>
      </w:pPr>
      <w:r>
        <w:rPr>
          <w:rFonts w:ascii="Arial" w:cs="Arial" w:eastAsia="Arial" w:hAnsi="Arial"/>
          <w:sz w:val="22"/>
          <w:szCs w:val="22"/>
          <w:b w:val="1"/>
          <w:bCs w:val="1"/>
          <w:color w:val="auto"/>
        </w:rPr>
        <w:t>Evolution Petroleum Corporation Incentive Compensation Recoupment Policy (the “Policy”) Effective as of September 7, 2023</w:t>
      </w:r>
    </w:p>
    <w:p>
      <w:pPr>
        <w:spacing w:after="0" w:line="200" w:lineRule="exact"/>
        <w:rPr>
          <w:sz w:val="20"/>
          <w:szCs w:val="20"/>
          <w:color w:val="auto"/>
        </w:rPr>
      </w:pPr>
    </w:p>
    <w:p>
      <w:pPr>
        <w:spacing w:after="0" w:line="225" w:lineRule="exact"/>
        <w:rPr>
          <w:sz w:val="20"/>
          <w:szCs w:val="20"/>
          <w:color w:val="auto"/>
        </w:rPr>
      </w:pPr>
    </w:p>
    <w:p>
      <w:pPr>
        <w:jc w:val="both"/>
        <w:ind w:left="200" w:right="219"/>
        <w:spacing w:after="0" w:line="287" w:lineRule="auto"/>
        <w:rPr>
          <w:sz w:val="20"/>
          <w:szCs w:val="20"/>
          <w:color w:val="auto"/>
        </w:rPr>
      </w:pPr>
      <w:r>
        <w:rPr>
          <w:rFonts w:ascii="Arial" w:cs="Arial" w:eastAsia="Arial" w:hAnsi="Arial"/>
          <w:sz w:val="19"/>
          <w:szCs w:val="19"/>
          <w:color w:val="auto"/>
        </w:rPr>
        <w:t>Based Compensation would violate home country law adopted prior to November 28, 2022; or (iii) it has determined that the recovery of Incentive-Based Compensation would cause a tax-qualified retirement plan, under which benefits are broadly available to the Company’s employees, to fail to meet the requirements of 26 U.S.C. 401(a)(13) or 26 U.S.C. 411(a) and regulations thereunder.</w:t>
      </w:r>
    </w:p>
    <w:p>
      <w:pPr>
        <w:spacing w:after="0" w:line="137" w:lineRule="exact"/>
        <w:rPr>
          <w:sz w:val="20"/>
          <w:szCs w:val="20"/>
          <w:color w:val="auto"/>
        </w:rPr>
      </w:pPr>
    </w:p>
    <w:p>
      <w:pPr>
        <w:jc w:val="both"/>
        <w:ind w:left="200" w:right="219"/>
        <w:spacing w:after="0" w:line="237" w:lineRule="auto"/>
        <w:rPr>
          <w:sz w:val="20"/>
          <w:szCs w:val="20"/>
          <w:color w:val="auto"/>
        </w:rPr>
      </w:pPr>
      <w:r>
        <w:rPr>
          <w:rFonts w:ascii="Arial" w:cs="Arial" w:eastAsia="Arial" w:hAnsi="Arial"/>
          <w:sz w:val="22"/>
          <w:szCs w:val="22"/>
          <w:b w:val="1"/>
          <w:bCs w:val="1"/>
          <w:color w:val="auto"/>
        </w:rPr>
        <w:t xml:space="preserve">“Incentive-Based Compensation” </w:t>
      </w:r>
      <w:r>
        <w:rPr>
          <w:rFonts w:ascii="Arial" w:cs="Arial" w:eastAsia="Arial" w:hAnsi="Arial"/>
          <w:sz w:val="22"/>
          <w:szCs w:val="22"/>
          <w:color w:val="auto"/>
        </w:rPr>
        <w:t>includes any compensation that is granted, earned, or vested</w:t>
      </w:r>
      <w:r>
        <w:rPr>
          <w:rFonts w:ascii="Arial" w:cs="Arial" w:eastAsia="Arial" w:hAnsi="Arial"/>
          <w:sz w:val="22"/>
          <w:szCs w:val="22"/>
          <w:b w:val="1"/>
          <w:bCs w:val="1"/>
          <w:color w:val="auto"/>
        </w:rPr>
        <w:t xml:space="preserve"> </w:t>
      </w:r>
      <w:r>
        <w:rPr>
          <w:rFonts w:ascii="Arial" w:cs="Arial" w:eastAsia="Arial" w:hAnsi="Arial"/>
          <w:sz w:val="22"/>
          <w:szCs w:val="22"/>
          <w:color w:val="auto"/>
        </w:rPr>
        <w:t>based wholly or in part upon the attainment of a Financial Reporting Measure; however it does not include: (i) base salaries; (ii) discretionary cash bonuses; (iii) awards (either cash or equity) that are based upon subjective, strategic or operational standards; and (iv) equity awards that vest solely on the passage of time.</w:t>
      </w:r>
    </w:p>
    <w:p>
      <w:pPr>
        <w:spacing w:after="0" w:line="182" w:lineRule="exact"/>
        <w:rPr>
          <w:sz w:val="20"/>
          <w:szCs w:val="20"/>
          <w:color w:val="auto"/>
        </w:rPr>
      </w:pPr>
    </w:p>
    <w:p>
      <w:pPr>
        <w:jc w:val="both"/>
        <w:ind w:left="200" w:right="219"/>
        <w:spacing w:after="0" w:line="239" w:lineRule="auto"/>
        <w:rPr>
          <w:sz w:val="20"/>
          <w:szCs w:val="20"/>
          <w:color w:val="auto"/>
        </w:rPr>
      </w:pPr>
      <w:r>
        <w:rPr>
          <w:rFonts w:ascii="Arial" w:cs="Arial" w:eastAsia="Arial" w:hAnsi="Arial"/>
          <w:sz w:val="22"/>
          <w:szCs w:val="22"/>
          <w:b w:val="1"/>
          <w:bCs w:val="1"/>
          <w:color w:val="auto"/>
        </w:rPr>
        <w:t xml:space="preserve">“Received” – </w:t>
      </w:r>
      <w:r>
        <w:rPr>
          <w:rFonts w:ascii="Arial" w:cs="Arial" w:eastAsia="Arial" w:hAnsi="Arial"/>
          <w:sz w:val="22"/>
          <w:szCs w:val="22"/>
          <w:color w:val="auto"/>
        </w:rPr>
        <w:t>Incentive-Based Compensation is deemed “Received” in any Company fiscal period</w:t>
      </w:r>
      <w:r>
        <w:rPr>
          <w:rFonts w:ascii="Arial" w:cs="Arial" w:eastAsia="Arial" w:hAnsi="Arial"/>
          <w:sz w:val="22"/>
          <w:szCs w:val="22"/>
          <w:b w:val="1"/>
          <w:bCs w:val="1"/>
          <w:color w:val="auto"/>
        </w:rPr>
        <w:t xml:space="preserve"> </w:t>
      </w:r>
      <w:r>
        <w:rPr>
          <w:rFonts w:ascii="Arial" w:cs="Arial" w:eastAsia="Arial" w:hAnsi="Arial"/>
          <w:sz w:val="22"/>
          <w:szCs w:val="22"/>
          <w:color w:val="auto"/>
        </w:rPr>
        <w:t>during which the Financial Reporting Measure specified in the Incentive-Based Compensation award is attained, even if the payment or grant of the Incentive-Based Compensation occurs after the end of that period.</w:t>
      </w:r>
    </w:p>
    <w:p>
      <w:pPr>
        <w:spacing w:after="0" w:line="180" w:lineRule="exact"/>
        <w:rPr>
          <w:sz w:val="20"/>
          <w:szCs w:val="20"/>
          <w:color w:val="auto"/>
        </w:rPr>
      </w:pPr>
    </w:p>
    <w:p>
      <w:pPr>
        <w:jc w:val="both"/>
        <w:ind w:left="200" w:right="219"/>
        <w:spacing w:after="0" w:line="273" w:lineRule="auto"/>
        <w:rPr>
          <w:sz w:val="20"/>
          <w:szCs w:val="20"/>
          <w:color w:val="auto"/>
        </w:rPr>
      </w:pPr>
      <w:r>
        <w:rPr>
          <w:rFonts w:ascii="Arial" w:cs="Arial" w:eastAsia="Arial" w:hAnsi="Arial"/>
          <w:sz w:val="19"/>
          <w:szCs w:val="19"/>
          <w:b w:val="1"/>
          <w:bCs w:val="1"/>
          <w:color w:val="auto"/>
        </w:rPr>
        <w:t xml:space="preserve">“Recoverable Compensation” </w:t>
      </w:r>
      <w:r>
        <w:rPr>
          <w:rFonts w:ascii="Arial" w:cs="Arial" w:eastAsia="Arial" w:hAnsi="Arial"/>
          <w:sz w:val="19"/>
          <w:szCs w:val="19"/>
          <w:color w:val="auto"/>
        </w:rPr>
        <w:t>means all Incentive-Based Compensation (calculated on a pre-tax</w:t>
      </w:r>
      <w:r>
        <w:rPr>
          <w:rFonts w:ascii="Arial" w:cs="Arial" w:eastAsia="Arial" w:hAnsi="Arial"/>
          <w:sz w:val="19"/>
          <w:szCs w:val="19"/>
          <w:b w:val="1"/>
          <w:bCs w:val="1"/>
          <w:color w:val="auto"/>
        </w:rPr>
        <w:t xml:space="preserve"> </w:t>
      </w:r>
      <w:r>
        <w:rPr>
          <w:rFonts w:ascii="Arial" w:cs="Arial" w:eastAsia="Arial" w:hAnsi="Arial"/>
          <w:sz w:val="19"/>
          <w:szCs w:val="19"/>
          <w:color w:val="auto"/>
        </w:rPr>
        <w:t>basis) Received after [</w:t>
      </w:r>
      <w:r>
        <w:rPr>
          <w:rFonts w:ascii="Arial" w:cs="Arial" w:eastAsia="Arial" w:hAnsi="Arial"/>
          <w:sz w:val="19"/>
          <w:szCs w:val="19"/>
          <w:u w:val="single" w:color="auto"/>
          <w:color w:val="auto"/>
        </w:rPr>
        <w:t>DATE OF ADOPTION OF POLICY</w:t>
      </w:r>
      <w:r>
        <w:rPr>
          <w:rFonts w:ascii="Arial" w:cs="Arial" w:eastAsia="Arial" w:hAnsi="Arial"/>
          <w:sz w:val="19"/>
          <w:szCs w:val="19"/>
          <w:color w:val="auto"/>
        </w:rPr>
        <w:t>] by a person: (i) after beginning service as an Executive Officer; (ii) who served as an Executive Officer at any time during the performance period for that Incentive-Based Compensation; (iii) while the Company had a class of securities listed on a national securities exchange or national securities association; and (iv) during the Applicable Period, that exceeded the amount of Incentive-Based Compensation that otherwise would have been Received had the amount been determined based on the Financial Performing Measures, as reflected in the Restatement. With respect to Incentive-Based Compensation based on stock price or TSR, when the amount of erroneously awarded compensation is not subject to mathematical recalculation directly from the information in an accounting restatement, the amount must be based on a reasonable estimate of the effect of the Restatement on the stock price or TSR upon which the Incentive-Based Compensation was received.</w:t>
      </w:r>
    </w:p>
    <w:p>
      <w:pPr>
        <w:spacing w:after="0" w:line="150" w:lineRule="exact"/>
        <w:rPr>
          <w:sz w:val="20"/>
          <w:szCs w:val="20"/>
          <w:color w:val="auto"/>
        </w:rPr>
      </w:pPr>
    </w:p>
    <w:p>
      <w:pPr>
        <w:jc w:val="both"/>
        <w:ind w:left="200" w:right="219"/>
        <w:spacing w:after="0" w:line="273" w:lineRule="auto"/>
        <w:rPr>
          <w:sz w:val="20"/>
          <w:szCs w:val="20"/>
          <w:color w:val="auto"/>
        </w:rPr>
      </w:pPr>
      <w:r>
        <w:rPr>
          <w:rFonts w:ascii="Arial" w:cs="Arial" w:eastAsia="Arial" w:hAnsi="Arial"/>
          <w:sz w:val="19"/>
          <w:szCs w:val="19"/>
          <w:b w:val="1"/>
          <w:bCs w:val="1"/>
          <w:color w:val="auto"/>
        </w:rPr>
        <w:t xml:space="preserve">“Restatement” </w:t>
      </w:r>
      <w:r>
        <w:rPr>
          <w:rFonts w:ascii="Arial" w:cs="Arial" w:eastAsia="Arial" w:hAnsi="Arial"/>
          <w:sz w:val="19"/>
          <w:szCs w:val="19"/>
          <w:color w:val="auto"/>
        </w:rPr>
        <w:t>means an accounting restatement of any of the Company’s financial statements</w:t>
      </w:r>
      <w:r>
        <w:rPr>
          <w:rFonts w:ascii="Arial" w:cs="Arial" w:eastAsia="Arial" w:hAnsi="Arial"/>
          <w:sz w:val="19"/>
          <w:szCs w:val="19"/>
          <w:b w:val="1"/>
          <w:bCs w:val="1"/>
          <w:color w:val="auto"/>
        </w:rPr>
        <w:t xml:space="preserve"> </w:t>
      </w:r>
      <w:r>
        <w:rPr>
          <w:rFonts w:ascii="Arial" w:cs="Arial" w:eastAsia="Arial" w:hAnsi="Arial"/>
          <w:sz w:val="19"/>
          <w:szCs w:val="19"/>
          <w:color w:val="auto"/>
        </w:rPr>
        <w:t>due to the Company’s material noncompliance with any financial reporting requirement under U.S. securities laws, including any required accounting restatement to correct an error in previously issued financial statements that is material to the previously issued financial statements (often referred to as a “Big R” restatement), or that would result in a material misstatement if the error were corrected in the current period or left uncorrected in the current period (often referred to as a “little r” restatement). A Restatement does not include situations in which financial statement changes did not result from material non-compliance with financial reporting requirements, such as, but not limited to retrospective: (i) application of a change in accounting principles; (ii) revision to reportable segment information due to a change in the structure of the Company’s internal organization; (iii) reclassification due to a discontinued operation; (iv)</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3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157" w:name="page158"/>
    <w:bookmarkEnd w:id="157"/>
    <w:p>
      <w:pPr>
        <w:jc w:val="center"/>
        <w:ind w:left="200" w:right="219"/>
        <w:spacing w:after="0" w:line="448" w:lineRule="auto"/>
        <w:rPr>
          <w:sz w:val="20"/>
          <w:szCs w:val="20"/>
          <w:color w:val="auto"/>
        </w:rPr>
      </w:pPr>
      <w:r>
        <w:rPr>
          <w:rFonts w:ascii="Arial" w:cs="Arial" w:eastAsia="Arial" w:hAnsi="Arial"/>
          <w:sz w:val="22"/>
          <w:szCs w:val="22"/>
          <w:b w:val="1"/>
          <w:bCs w:val="1"/>
          <w:color w:val="auto"/>
        </w:rPr>
        <w:t>Evolution Petroleum Corporation Incentive Compensation Recoupment Policy (the “Policy”) Effective as of September 7, 2023</w:t>
      </w:r>
    </w:p>
    <w:p>
      <w:pPr>
        <w:spacing w:after="0" w:line="200" w:lineRule="exact"/>
        <w:rPr>
          <w:sz w:val="20"/>
          <w:szCs w:val="20"/>
          <w:color w:val="auto"/>
        </w:rPr>
      </w:pPr>
    </w:p>
    <w:p>
      <w:pPr>
        <w:spacing w:after="0" w:line="225" w:lineRule="exact"/>
        <w:rPr>
          <w:sz w:val="20"/>
          <w:szCs w:val="20"/>
          <w:color w:val="auto"/>
        </w:rPr>
      </w:pPr>
    </w:p>
    <w:p>
      <w:pPr>
        <w:ind w:left="200" w:right="219"/>
        <w:spacing w:after="0" w:line="276" w:lineRule="auto"/>
        <w:rPr>
          <w:sz w:val="20"/>
          <w:szCs w:val="20"/>
          <w:color w:val="auto"/>
        </w:rPr>
      </w:pPr>
      <w:r>
        <w:rPr>
          <w:rFonts w:ascii="Arial" w:cs="Arial" w:eastAsia="Arial" w:hAnsi="Arial"/>
          <w:sz w:val="19"/>
          <w:szCs w:val="19"/>
          <w:color w:val="auto"/>
        </w:rPr>
        <w:t>application of a change in reporting entity, such as from a reorganization of entities under common control; (v) adjustment to provision amounts in connection with a prior business combination; and</w:t>
      </w:r>
    </w:p>
    <w:p>
      <w:pPr>
        <w:spacing w:after="0" w:line="1" w:lineRule="exact"/>
        <w:rPr>
          <w:sz w:val="20"/>
          <w:szCs w:val="20"/>
          <w:color w:val="auto"/>
        </w:rPr>
      </w:pPr>
    </w:p>
    <w:p>
      <w:pPr>
        <w:ind w:left="200" w:right="239" w:firstLine="9"/>
        <w:spacing w:after="0" w:line="236" w:lineRule="auto"/>
        <w:tabs>
          <w:tab w:leader="none" w:pos="612" w:val="left"/>
        </w:tabs>
        <w:numPr>
          <w:ilvl w:val="0"/>
          <w:numId w:val="105"/>
        </w:numPr>
        <w:rPr>
          <w:rFonts w:ascii="Arial" w:cs="Arial" w:eastAsia="Arial" w:hAnsi="Arial"/>
          <w:sz w:val="22"/>
          <w:szCs w:val="22"/>
          <w:color w:val="auto"/>
        </w:rPr>
      </w:pPr>
      <w:r>
        <w:rPr>
          <w:rFonts w:ascii="Arial" w:cs="Arial" w:eastAsia="Arial" w:hAnsi="Arial"/>
          <w:sz w:val="22"/>
          <w:szCs w:val="22"/>
          <w:color w:val="auto"/>
        </w:rPr>
        <w:t>revision for stock splits, stock dividends, reverse stock splits or other changes in capital structure.</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22"/>
          <w:szCs w:val="22"/>
          <w:color w:val="auto"/>
        </w:rPr>
        <w:t>Adopted by the Board of Directors on September 7, 2023.</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4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65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0C6A529"/>
    <w:multiLevelType w:val="hybridMultilevel"/>
    <w:lvl w:ilvl="0">
      <w:lvlJc w:val="left"/>
      <w:lvlText w:val="☒"/>
      <w:numFmt w:val="bullet"/>
      <w:start w:val="1"/>
    </w:lvl>
  </w:abstractNum>
  <w:abstractNum w:abstractNumId="1">
    <w:nsid w:val="520EEDD1"/>
    <w:multiLevelType w:val="hybridMultilevel"/>
    <w:lvl w:ilvl="0">
      <w:lvlJc w:val="left"/>
      <w:lvlText w:val="☐"/>
      <w:numFmt w:val="bullet"/>
      <w:start w:val="1"/>
    </w:lvl>
  </w:abstractNum>
  <w:abstractNum w:abstractNumId="2">
    <w:nsid w:val="374A3FE6"/>
    <w:multiLevelType w:val="hybridMultilevel"/>
    <w:lvl w:ilvl="0">
      <w:lvlJc w:val="left"/>
      <w:lvlText w:val="●"/>
      <w:numFmt w:val="bullet"/>
      <w:start w:val="1"/>
    </w:lvl>
  </w:abstractNum>
  <w:abstractNum w:abstractNumId="3">
    <w:nsid w:val="4F4EF005"/>
    <w:multiLevelType w:val="hybridMultilevel"/>
    <w:lvl w:ilvl="0">
      <w:lvlJc w:val="left"/>
      <w:lvlText w:val="●"/>
      <w:numFmt w:val="bullet"/>
      <w:start w:val="1"/>
    </w:lvl>
  </w:abstractNum>
  <w:abstractNum w:abstractNumId="4">
    <w:nsid w:val="23F9C13C"/>
    <w:multiLevelType w:val="hybridMultilevel"/>
    <w:lvl w:ilvl="0">
      <w:lvlJc w:val="left"/>
      <w:lvlText w:val="*"/>
      <w:numFmt w:val="bullet"/>
      <w:start w:val="1"/>
    </w:lvl>
  </w:abstractNum>
  <w:abstractNum w:abstractNumId="5">
    <w:nsid w:val="649BB77C"/>
    <w:multiLevelType w:val="hybridMultilevel"/>
    <w:lvl w:ilvl="0">
      <w:lvlJc w:val="left"/>
      <w:lvlText w:val="●"/>
      <w:numFmt w:val="bullet"/>
      <w:start w:val="1"/>
    </w:lvl>
  </w:abstractNum>
  <w:abstractNum w:abstractNumId="6">
    <w:nsid w:val="275AC794"/>
    <w:multiLevelType w:val="hybridMultilevel"/>
    <w:lvl w:ilvl="0">
      <w:lvlJc w:val="left"/>
      <w:lvlText w:val="(%1)"/>
      <w:numFmt w:val="decimal"/>
      <w:start w:val="1"/>
    </w:lvl>
  </w:abstractNum>
  <w:abstractNum w:abstractNumId="7">
    <w:nsid w:val="39386575"/>
    <w:multiLevelType w:val="hybridMultilevel"/>
    <w:lvl w:ilvl="0">
      <w:lvlJc w:val="left"/>
      <w:lvlText w:val="(%1)"/>
      <w:numFmt w:val="decimal"/>
      <w:start w:val="1"/>
    </w:lvl>
  </w:abstractNum>
  <w:abstractNum w:abstractNumId="8">
    <w:nsid w:val="1CF10FD8"/>
    <w:multiLevelType w:val="hybridMultilevel"/>
    <w:lvl w:ilvl="0">
      <w:lvlJc w:val="left"/>
      <w:lvlText w:val="(%1)"/>
      <w:numFmt w:val="decimal"/>
      <w:start w:val="1"/>
    </w:lvl>
  </w:abstractNum>
  <w:abstractNum w:abstractNumId="9">
    <w:nsid w:val="180115BE"/>
    <w:multiLevelType w:val="hybridMultilevel"/>
    <w:lvl w:ilvl="0">
      <w:lvlJc w:val="left"/>
      <w:lvlText w:val="(%1)"/>
      <w:numFmt w:val="decimal"/>
      <w:start w:val="1"/>
    </w:lvl>
  </w:abstractNum>
  <w:abstractNum w:abstractNumId="10">
    <w:nsid w:val="235BA861"/>
    <w:multiLevelType w:val="hybridMultilevel"/>
    <w:lvl w:ilvl="0">
      <w:lvlJc w:val="left"/>
      <w:lvlText w:val="(%1)"/>
      <w:numFmt w:val="decimal"/>
      <w:start w:val="1"/>
    </w:lvl>
  </w:abstractNum>
  <w:abstractNum w:abstractNumId="11">
    <w:nsid w:val="47398C89"/>
    <w:multiLevelType w:val="hybridMultilevel"/>
    <w:lvl w:ilvl="0">
      <w:lvlJc w:val="left"/>
      <w:lvlText w:val="●"/>
      <w:numFmt w:val="bullet"/>
      <w:start w:val="1"/>
    </w:lvl>
  </w:abstractNum>
  <w:abstractNum w:abstractNumId="12">
    <w:nsid w:val="354FE9F9"/>
    <w:multiLevelType w:val="hybridMultilevel"/>
    <w:lvl w:ilvl="0">
      <w:lvlJc w:val="left"/>
      <w:lvlText w:val="●"/>
      <w:numFmt w:val="bullet"/>
      <w:start w:val="1"/>
    </w:lvl>
  </w:abstractNum>
  <w:abstractNum w:abstractNumId="13">
    <w:nsid w:val="15B5AF5C"/>
    <w:multiLevelType w:val="hybridMultilevel"/>
    <w:lvl w:ilvl="0">
      <w:lvlJc w:val="left"/>
      <w:lvlText w:val="●"/>
      <w:numFmt w:val="bullet"/>
      <w:start w:val="1"/>
    </w:lvl>
  </w:abstractNum>
  <w:abstractNum w:abstractNumId="14">
    <w:nsid w:val="741226BB"/>
    <w:multiLevelType w:val="hybridMultilevel"/>
    <w:lvl w:ilvl="0">
      <w:lvlJc w:val="left"/>
      <w:lvlText w:val="●"/>
      <w:numFmt w:val="bullet"/>
      <w:start w:val="1"/>
    </w:lvl>
  </w:abstractNum>
  <w:abstractNum w:abstractNumId="15">
    <w:nsid w:val="D34B6A8"/>
    <w:multiLevelType w:val="hybridMultilevel"/>
    <w:lvl w:ilvl="0">
      <w:lvlJc w:val="left"/>
      <w:lvlText w:val="●"/>
      <w:numFmt w:val="bullet"/>
      <w:start w:val="1"/>
    </w:lvl>
  </w:abstractNum>
  <w:abstractNum w:abstractNumId="16">
    <w:nsid w:val="10233C99"/>
    <w:multiLevelType w:val="hybridMultilevel"/>
    <w:lvl w:ilvl="0">
      <w:lvlJc w:val="left"/>
      <w:lvlText w:val="●"/>
      <w:numFmt w:val="bullet"/>
      <w:start w:val="1"/>
    </w:lvl>
  </w:abstractNum>
  <w:abstractNum w:abstractNumId="17">
    <w:nsid w:val="3F6AB60F"/>
    <w:multiLevelType w:val="hybridMultilevel"/>
    <w:lvl w:ilvl="0">
      <w:lvlJc w:val="left"/>
      <w:lvlText w:val="●"/>
      <w:numFmt w:val="bullet"/>
      <w:start w:val="1"/>
    </w:lvl>
  </w:abstractNum>
  <w:abstractNum w:abstractNumId="18">
    <w:nsid w:val="61574095"/>
    <w:multiLevelType w:val="hybridMultilevel"/>
    <w:lvl w:ilvl="0">
      <w:lvlJc w:val="left"/>
      <w:lvlText w:val="●"/>
      <w:numFmt w:val="bullet"/>
      <w:start w:val="1"/>
    </w:lvl>
  </w:abstractNum>
  <w:abstractNum w:abstractNumId="19">
    <w:nsid w:val="7E0C57B1"/>
    <w:multiLevelType w:val="hybridMultilevel"/>
    <w:lvl w:ilvl="0">
      <w:lvlJc w:val="left"/>
      <w:lvlText w:val="●"/>
      <w:numFmt w:val="bullet"/>
      <w:start w:val="1"/>
    </w:lvl>
  </w:abstractNum>
  <w:abstractNum w:abstractNumId="20">
    <w:nsid w:val="77AE35EB"/>
    <w:multiLevelType w:val="hybridMultilevel"/>
    <w:lvl w:ilvl="0">
      <w:lvlJc w:val="left"/>
      <w:lvlText w:val="(%1)"/>
      <w:numFmt w:val="decimal"/>
      <w:start w:val="1"/>
    </w:lvl>
  </w:abstractNum>
  <w:abstractNum w:abstractNumId="21">
    <w:nsid w:val="579BE4F1"/>
    <w:multiLevelType w:val="hybridMultilevel"/>
    <w:lvl w:ilvl="0">
      <w:lvlJc w:val="left"/>
      <w:lvlText w:val="(%1)"/>
      <w:numFmt w:val="decimal"/>
      <w:start w:val="1"/>
    </w:lvl>
  </w:abstractNum>
  <w:abstractNum w:abstractNumId="22">
    <w:nsid w:val="310C50B3"/>
    <w:multiLevelType w:val="hybridMultilevel"/>
    <w:lvl w:ilvl="0">
      <w:lvlJc w:val="left"/>
      <w:lvlText w:val="(%1)"/>
      <w:numFmt w:val="decimal"/>
      <w:start w:val="1"/>
    </w:lvl>
  </w:abstractNum>
  <w:abstractNum w:abstractNumId="23">
    <w:nsid w:val="5FF87E05"/>
    <w:multiLevelType w:val="hybridMultilevel"/>
    <w:lvl w:ilvl="0">
      <w:lvlJc w:val="left"/>
      <w:lvlText w:val="(%1)"/>
      <w:numFmt w:val="lowerRoman"/>
      <w:start w:val="1"/>
    </w:lvl>
  </w:abstractNum>
  <w:abstractNum w:abstractNumId="24">
    <w:nsid w:val="2F305DEF"/>
    <w:multiLevelType w:val="hybridMultilevel"/>
    <w:lvl w:ilvl="0">
      <w:lvlJc w:val="left"/>
      <w:lvlText w:val="●"/>
      <w:numFmt w:val="bullet"/>
      <w:start w:val="1"/>
    </w:lvl>
    <w:lvl w:ilvl="1">
      <w:lvlJc w:val="left"/>
      <w:lvlText w:val=" "/>
      <w:numFmt w:val="bullet"/>
      <w:start w:val="1"/>
    </w:lvl>
  </w:abstractNum>
  <w:abstractNum w:abstractNumId="25">
    <w:nsid w:val="25A70BF7"/>
    <w:multiLevelType w:val="hybridMultilevel"/>
    <w:lvl w:ilvl="0">
      <w:lvlJc w:val="left"/>
      <w:lvlText w:val="(%1)"/>
      <w:numFmt w:val="lowerLetter"/>
      <w:start w:val="1"/>
    </w:lvl>
  </w:abstractNum>
  <w:abstractNum w:abstractNumId="26">
    <w:nsid w:val="1DBABF00"/>
    <w:multiLevelType w:val="hybridMultilevel"/>
    <w:lvl w:ilvl="0">
      <w:lvlJc w:val="left"/>
      <w:lvlText w:val="(%1)"/>
      <w:numFmt w:val="decimal"/>
      <w:start w:val="1"/>
    </w:lvl>
  </w:abstractNum>
  <w:abstractNum w:abstractNumId="27">
    <w:nsid w:val="4AD084E9"/>
    <w:multiLevelType w:val="hybridMultilevel"/>
    <w:lvl w:ilvl="0">
      <w:lvlJc w:val="left"/>
      <w:lvlText w:val="(%1)"/>
      <w:numFmt w:val="decimal"/>
      <w:start w:val="1"/>
    </w:lvl>
  </w:abstractNum>
  <w:abstractNum w:abstractNumId="28">
    <w:nsid w:val="1F48EAA1"/>
    <w:multiLevelType w:val="hybridMultilevel"/>
    <w:lvl w:ilvl="0">
      <w:lvlJc w:val="left"/>
      <w:lvlText w:val="(%1)"/>
      <w:numFmt w:val="decimal"/>
      <w:start w:val="1"/>
    </w:lvl>
  </w:abstractNum>
  <w:abstractNum w:abstractNumId="29">
    <w:nsid w:val="1381823A"/>
    <w:multiLevelType w:val="hybridMultilevel"/>
    <w:lvl w:ilvl="0">
      <w:lvlJc w:val="left"/>
      <w:lvlText w:val="(%1)"/>
      <w:numFmt w:val="decimal"/>
      <w:start w:val="1"/>
    </w:lvl>
  </w:abstractNum>
  <w:abstractNum w:abstractNumId="30">
    <w:nsid w:val="5DB70AE5"/>
    <w:multiLevelType w:val="hybridMultilevel"/>
    <w:lvl w:ilvl="0">
      <w:lvlJc w:val="left"/>
      <w:lvlText w:val="●"/>
      <w:numFmt w:val="bullet"/>
      <w:start w:val="1"/>
    </w:lvl>
  </w:abstractNum>
  <w:abstractNum w:abstractNumId="31">
    <w:nsid w:val="100F8FCA"/>
    <w:multiLevelType w:val="hybridMultilevel"/>
    <w:lvl w:ilvl="0">
      <w:lvlJc w:val="left"/>
      <w:lvlText w:val="(%1)"/>
      <w:numFmt w:val="decimal"/>
      <w:start w:val="1"/>
    </w:lvl>
  </w:abstractNum>
  <w:abstractNum w:abstractNumId="32">
    <w:nsid w:val="6590700B"/>
    <w:multiLevelType w:val="hybridMultilevel"/>
    <w:lvl w:ilvl="0">
      <w:lvlJc w:val="left"/>
      <w:lvlText w:val="&amp;"/>
      <w:numFmt w:val="bullet"/>
      <w:start w:val="1"/>
    </w:lvl>
  </w:abstractNum>
  <w:abstractNum w:abstractNumId="33">
    <w:nsid w:val="15014ACB"/>
    <w:multiLevelType w:val="hybridMultilevel"/>
    <w:lvl w:ilvl="0">
      <w:lvlJc w:val="left"/>
      <w:lvlText w:val="●"/>
      <w:numFmt w:val="bullet"/>
      <w:start w:val="1"/>
    </w:lvl>
  </w:abstractNum>
  <w:abstractNum w:abstractNumId="34">
    <w:nsid w:val="5F5E7FD0"/>
    <w:multiLevelType w:val="hybridMultilevel"/>
    <w:lvl w:ilvl="0">
      <w:lvlJc w:val="left"/>
      <w:lvlText w:val="●"/>
      <w:numFmt w:val="bullet"/>
      <w:start w:val="1"/>
    </w:lvl>
  </w:abstractNum>
  <w:abstractNum w:abstractNumId="35">
    <w:nsid w:val="98A3148"/>
    <w:multiLevelType w:val="hybridMultilevel"/>
    <w:lvl w:ilvl="0">
      <w:lvlJc w:val="left"/>
      <w:lvlText w:val="●"/>
      <w:numFmt w:val="bullet"/>
      <w:start w:val="1"/>
    </w:lvl>
  </w:abstractNum>
  <w:abstractNum w:abstractNumId="36">
    <w:nsid w:val="799D0247"/>
    <w:multiLevelType w:val="hybridMultilevel"/>
    <w:lvl w:ilvl="0">
      <w:lvlJc w:val="left"/>
      <w:lvlText w:val="●"/>
      <w:numFmt w:val="bullet"/>
      <w:start w:val="1"/>
    </w:lvl>
  </w:abstractNum>
  <w:abstractNum w:abstractNumId="37">
    <w:nsid w:val="6B94764"/>
    <w:multiLevelType w:val="hybridMultilevel"/>
    <w:lvl w:ilvl="0">
      <w:lvlJc w:val="left"/>
      <w:lvlText w:val="%1."/>
      <w:numFmt w:val="decimal"/>
      <w:start w:val="1"/>
    </w:lvl>
  </w:abstractNum>
  <w:abstractNum w:abstractNumId="38">
    <w:nsid w:val="42C296BD"/>
    <w:multiLevelType w:val="hybridMultilevel"/>
    <w:lvl w:ilvl="0">
      <w:lvlJc w:val="left"/>
      <w:lvlText w:val="%1."/>
      <w:numFmt w:val="decimal"/>
      <w:start w:val="2"/>
    </w:lvl>
  </w:abstractNum>
  <w:abstractNum w:abstractNumId="39">
    <w:nsid w:val="168E121F"/>
    <w:multiLevelType w:val="hybridMultilevel"/>
    <w:lvl w:ilvl="0">
      <w:lvlJc w:val="left"/>
      <w:lvlText w:val="†"/>
      <w:numFmt w:val="bullet"/>
      <w:start w:val="1"/>
    </w:lvl>
  </w:abstractNum>
  <w:abstractNum w:abstractNumId="40">
    <w:nsid w:val="1EBA5D23"/>
    <w:multiLevelType w:val="hybridMultilevel"/>
    <w:lvl w:ilvl="0">
      <w:lvlJc w:val="left"/>
      <w:lvlText w:val="(%1)"/>
      <w:numFmt w:val="decimal"/>
      <w:start w:val="10"/>
    </w:lvl>
  </w:abstractNum>
  <w:abstractNum w:abstractNumId="41">
    <w:nsid w:val="661E3F1E"/>
    <w:multiLevelType w:val="hybridMultilevel"/>
    <w:lvl w:ilvl="0">
      <w:lvlJc w:val="left"/>
      <w:lvlText w:val="(%1)"/>
      <w:numFmt w:val="upperLetter"/>
      <w:start w:val="1"/>
    </w:lvl>
    <w:lvl w:ilvl="1">
      <w:lvlJc w:val="left"/>
      <w:lvlText w:val="(%2)"/>
      <w:numFmt w:val="decimal"/>
      <w:start w:val="1"/>
    </w:lvl>
  </w:abstractNum>
  <w:abstractNum w:abstractNumId="42">
    <w:nsid w:val="5DC79EA8"/>
    <w:multiLevelType w:val="hybridMultilevel"/>
    <w:lvl w:ilvl="0">
      <w:lvlJc w:val="left"/>
      <w:lvlText w:val="(%1)"/>
      <w:numFmt w:val="decimal"/>
      <w:start w:val="2"/>
    </w:lvl>
  </w:abstractNum>
  <w:abstractNum w:abstractNumId="43">
    <w:nsid w:val="540A471C"/>
    <w:multiLevelType w:val="hybridMultilevel"/>
    <w:lvl w:ilvl="0">
      <w:lvlJc w:val="left"/>
      <w:lvlText w:val="(%1)"/>
      <w:numFmt w:val="decimal"/>
      <w:start w:val="4"/>
    </w:lvl>
  </w:abstractNum>
  <w:abstractNum w:abstractNumId="44">
    <w:nsid w:val="7BD3EE7B"/>
    <w:multiLevelType w:val="hybridMultilevel"/>
    <w:lvl w:ilvl="0">
      <w:lvlJc w:val="left"/>
      <w:lvlText w:val="(%1)"/>
      <w:numFmt w:val="upperLetter"/>
      <w:start w:val="2"/>
    </w:lvl>
  </w:abstractNum>
  <w:abstractNum w:abstractNumId="45">
    <w:nsid w:val="51D9C564"/>
    <w:multiLevelType w:val="hybridMultilevel"/>
    <w:lvl w:ilvl="0">
      <w:lvlJc w:val="left"/>
      <w:lvlText w:val="(%1)"/>
      <w:numFmt w:val="decimal"/>
      <w:start w:val="1"/>
    </w:lvl>
  </w:abstractNum>
  <w:abstractNum w:abstractNumId="46">
    <w:nsid w:val="613EFDC5"/>
    <w:multiLevelType w:val="hybridMultilevel"/>
    <w:lvl w:ilvl="0">
      <w:lvlJc w:val="left"/>
      <w:lvlText w:val="(%1)"/>
      <w:numFmt w:val="decimal"/>
      <w:start w:val="3"/>
    </w:lvl>
  </w:abstractNum>
  <w:abstractNum w:abstractNumId="47">
    <w:nsid w:val="BF72B14"/>
    <w:multiLevelType w:val="hybridMultilevel"/>
    <w:lvl w:ilvl="0">
      <w:lvlJc w:val="left"/>
      <w:lvlText w:val="(%1)"/>
      <w:numFmt w:val="upperLetter"/>
      <w:start w:val="4"/>
    </w:lvl>
  </w:abstractNum>
  <w:abstractNum w:abstractNumId="48">
    <w:nsid w:val="11447B73"/>
    <w:multiLevelType w:val="hybridMultilevel"/>
    <w:lvl w:ilvl="0">
      <w:lvlJc w:val="left"/>
      <w:lvlText w:val="(%1)"/>
      <w:numFmt w:val="lowerLetter"/>
      <w:start w:val="1"/>
    </w:lvl>
  </w:abstractNum>
  <w:abstractNum w:abstractNumId="49">
    <w:nsid w:val="42963E5A"/>
    <w:multiLevelType w:val="hybridMultilevel"/>
    <w:lvl w:ilvl="0">
      <w:lvlJc w:val="left"/>
      <w:lvlText w:val="(%1)"/>
      <w:numFmt w:val="lowerLetter"/>
      <w:start w:val="5"/>
    </w:lvl>
  </w:abstractNum>
  <w:abstractNum w:abstractNumId="50">
    <w:nsid w:val="A0382C5"/>
    <w:multiLevelType w:val="hybridMultilevel"/>
    <w:lvl w:ilvl="0">
      <w:lvlJc w:val="left"/>
      <w:lvlText w:val="(%1)"/>
      <w:numFmt w:val="decimal"/>
      <w:start w:val="1"/>
    </w:lvl>
  </w:abstractNum>
  <w:abstractNum w:abstractNumId="51">
    <w:nsid w:val="8F2B15E"/>
    <w:multiLevelType w:val="hybridMultilevel"/>
    <w:lvl w:ilvl="0">
      <w:lvlJc w:val="left"/>
      <w:lvlText w:val="(%1)"/>
      <w:numFmt w:val="upperLetter"/>
      <w:start w:val="2"/>
    </w:lvl>
    <w:lvl w:ilvl="1">
      <w:lvlJc w:val="left"/>
      <w:lvlText w:val="(%2)"/>
      <w:numFmt w:val="decimal"/>
      <w:start w:val="1"/>
    </w:lvl>
  </w:abstractNum>
  <w:abstractNum w:abstractNumId="52">
    <w:nsid w:val="1A32234B"/>
    <w:multiLevelType w:val="hybridMultilevel"/>
    <w:lvl w:ilvl="0">
      <w:lvlJc w:val="left"/>
      <w:lvlText w:val="%1."/>
      <w:numFmt w:val="decimal"/>
      <w:start w:val="1"/>
    </w:lvl>
    <w:lvl w:ilvl="1">
      <w:lvlJc w:val="left"/>
      <w:lvlText w:val="(%2)"/>
      <w:numFmt w:val="lowerLetter"/>
      <w:start w:val="1"/>
    </w:lvl>
  </w:abstractNum>
  <w:abstractNum w:abstractNumId="53">
    <w:nsid w:val="3B0FD379"/>
    <w:multiLevelType w:val="hybridMultilevel"/>
    <w:lvl w:ilvl="0">
      <w:lvlJc w:val="left"/>
      <w:lvlText w:val="(%1)"/>
      <w:numFmt w:val="lowerLetter"/>
      <w:start w:val="2"/>
    </w:lvl>
  </w:abstractNum>
  <w:abstractNum w:abstractNumId="54">
    <w:nsid w:val="68EB2F63"/>
    <w:multiLevelType w:val="hybridMultilevel"/>
    <w:lvl w:ilvl="0">
      <w:lvlJc w:val="left"/>
      <w:lvlText w:val="(%1)"/>
      <w:numFmt w:val="lowerLetter"/>
      <w:start w:val="3"/>
    </w:lvl>
  </w:abstractNum>
  <w:abstractNum w:abstractNumId="55">
    <w:nsid w:val="4962813B"/>
    <w:multiLevelType w:val="hybridMultilevel"/>
    <w:lvl w:ilvl="0">
      <w:lvlJc w:val="left"/>
      <w:lvlText w:val="%1"/>
      <w:numFmt w:val="decimal"/>
      <w:start w:val="1"/>
    </w:lvl>
    <w:lvl w:ilvl="1">
      <w:lvlJc w:val="left"/>
      <w:lvlText w:val="(%2)"/>
      <w:numFmt w:val="lowerLetter"/>
      <w:start w:val="1"/>
    </w:lvl>
  </w:abstractNum>
  <w:abstractNum w:abstractNumId="56">
    <w:nsid w:val="60B6DF70"/>
    <w:multiLevelType w:val="hybridMultilevel"/>
    <w:lvl w:ilvl="0">
      <w:lvlJc w:val="left"/>
      <w:lvlText w:val="%1."/>
      <w:numFmt w:val="decimal"/>
      <w:start w:val="3"/>
    </w:lvl>
    <w:lvl w:ilvl="1">
      <w:lvlJc w:val="left"/>
      <w:lvlText w:val="%2"/>
      <w:numFmt w:val="lowerLetter"/>
      <w:start w:val="1"/>
    </w:lvl>
  </w:abstractNum>
  <w:abstractNum w:abstractNumId="57">
    <w:nsid w:val="6A5EE64"/>
    <w:multiLevelType w:val="hybridMultilevel"/>
    <w:lvl w:ilvl="0">
      <w:lvlJc w:val="left"/>
      <w:lvlText w:val="%1."/>
      <w:numFmt w:val="decimal"/>
      <w:start w:val="5"/>
    </w:lvl>
  </w:abstractNum>
  <w:abstractNum w:abstractNumId="58">
    <w:nsid w:val="14330624"/>
    <w:multiLevelType w:val="hybridMultilevel"/>
    <w:lvl w:ilvl="0">
      <w:lvlJc w:val="left"/>
      <w:lvlText w:val="(%1)"/>
      <w:numFmt w:val="lowerLetter"/>
      <w:start w:val="1"/>
    </w:lvl>
  </w:abstractNum>
  <w:abstractNum w:abstractNumId="59">
    <w:nsid w:val="7FFFCA11"/>
    <w:multiLevelType w:val="hybridMultilevel"/>
    <w:lvl w:ilvl="0">
      <w:lvlJc w:val="left"/>
      <w:lvlText w:val="%1."/>
      <w:numFmt w:val="decimal"/>
      <w:start w:val="8"/>
    </w:lvl>
  </w:abstractNum>
  <w:abstractNum w:abstractNumId="60">
    <w:nsid w:val="1A27709E"/>
    <w:multiLevelType w:val="hybridMultilevel"/>
    <w:lvl w:ilvl="0">
      <w:lvlJc w:val="left"/>
      <w:lvlText w:val="%1."/>
      <w:numFmt w:val="decimal"/>
      <w:start w:val="15"/>
    </w:lvl>
  </w:abstractNum>
  <w:abstractNum w:abstractNumId="61">
    <w:nsid w:val="71EA1109"/>
    <w:multiLevelType w:val="hybridMultilevel"/>
    <w:lvl w:ilvl="0">
      <w:lvlJc w:val="left"/>
      <w:lvlText w:val="%1."/>
      <w:numFmt w:val="decimal"/>
      <w:start w:val="20"/>
    </w:lvl>
  </w:abstractNum>
  <w:abstractNum w:abstractNumId="62">
    <w:nsid w:val="100F59DC"/>
    <w:multiLevelType w:val="hybridMultilevel"/>
    <w:lvl w:ilvl="0">
      <w:lvlJc w:val="left"/>
      <w:lvlText w:val="%1."/>
      <w:numFmt w:val="decimal"/>
      <w:start w:val="1"/>
    </w:lvl>
  </w:abstractNum>
  <w:abstractNum w:abstractNumId="63">
    <w:nsid w:val="7FB7E0AA"/>
    <w:multiLevelType w:val="hybridMultilevel"/>
    <w:lvl w:ilvl="0">
      <w:lvlJc w:val="left"/>
      <w:lvlText w:val="%1."/>
      <w:numFmt w:val="decimal"/>
      <w:start w:val="4"/>
    </w:lvl>
  </w:abstractNum>
  <w:abstractNum w:abstractNumId="64">
    <w:nsid w:val="6EB5BD4"/>
    <w:multiLevelType w:val="hybridMultilevel"/>
    <w:lvl w:ilvl="0">
      <w:lvlJc w:val="left"/>
      <w:lvlText w:val="%1."/>
      <w:numFmt w:val="decimal"/>
      <w:start w:val="9"/>
    </w:lvl>
  </w:abstractNum>
  <w:abstractNum w:abstractNumId="65">
    <w:nsid w:val="6F6DD9AC"/>
    <w:multiLevelType w:val="hybridMultilevel"/>
    <w:lvl w:ilvl="0">
      <w:lvlJc w:val="left"/>
      <w:lvlText w:val="(%1)"/>
      <w:numFmt w:val="lowerLetter"/>
      <w:start w:val="1"/>
    </w:lvl>
  </w:abstractNum>
  <w:abstractNum w:abstractNumId="66">
    <w:nsid w:val="94211F2"/>
    <w:multiLevelType w:val="hybridMultilevel"/>
    <w:lvl w:ilvl="0">
      <w:lvlJc w:val="left"/>
      <w:lvlText w:val="%1."/>
      <w:numFmt w:val="decimal"/>
      <w:start w:val="12"/>
    </w:lvl>
  </w:abstractNum>
  <w:abstractNum w:abstractNumId="67">
    <w:nsid w:val="885E1B"/>
    <w:multiLevelType w:val="hybridMultilevel"/>
    <w:lvl w:ilvl="0">
      <w:lvlJc w:val="left"/>
      <w:lvlText w:val="%1."/>
      <w:numFmt w:val="decimal"/>
      <w:start w:val="20"/>
    </w:lvl>
  </w:abstractNum>
  <w:abstractNum w:abstractNumId="68">
    <w:nsid w:val="76272110"/>
    <w:multiLevelType w:val="hybridMultilevel"/>
    <w:lvl w:ilvl="0">
      <w:lvlJc w:val="left"/>
      <w:lvlText w:val="%1."/>
      <w:numFmt w:val="decimal"/>
      <w:start w:val="21"/>
    </w:lvl>
  </w:abstractNum>
  <w:abstractNum w:abstractNumId="69">
    <w:nsid w:val="4C04A8AF"/>
    <w:multiLevelType w:val="hybridMultilevel"/>
    <w:lvl w:ilvl="0">
      <w:lvlJc w:val="left"/>
      <w:lvlText w:val="%1."/>
      <w:numFmt w:val="decimal"/>
      <w:start w:val="23"/>
    </w:lvl>
  </w:abstractNum>
  <w:abstractNum w:abstractNumId="70">
    <w:nsid w:val="1716703B"/>
    <w:multiLevelType w:val="hybridMultilevel"/>
    <w:lvl w:ilvl="0">
      <w:lvlJc w:val="left"/>
      <w:lvlText w:val="%1."/>
      <w:numFmt w:val="decimal"/>
      <w:start w:val="1"/>
    </w:lvl>
    <w:lvl w:ilvl="1">
      <w:lvlJc w:val="left"/>
      <w:lvlText w:val="%2."/>
      <w:numFmt w:val="lowerLetter"/>
      <w:start w:val="1"/>
    </w:lvl>
  </w:abstractNum>
  <w:abstractNum w:abstractNumId="71">
    <w:nsid w:val="14E17E33"/>
    <w:multiLevelType w:val="hybridMultilevel"/>
    <w:lvl w:ilvl="0">
      <w:lvlJc w:val="left"/>
      <w:lvlText w:val="%1."/>
      <w:numFmt w:val="decimal"/>
      <w:start w:val="1"/>
    </w:lvl>
    <w:lvl w:ilvl="1">
      <w:lvlJc w:val="left"/>
      <w:lvlText w:val="%2."/>
      <w:numFmt w:val="lowerLetter"/>
      <w:start w:val="1"/>
    </w:lvl>
  </w:abstractNum>
  <w:abstractNum w:abstractNumId="72">
    <w:nsid w:val="3222E7CD"/>
    <w:multiLevelType w:val="hybridMultilevel"/>
    <w:lvl w:ilvl="0">
      <w:lvlJc w:val="left"/>
      <w:lvlText w:val="%1."/>
      <w:numFmt w:val="decimal"/>
      <w:start w:val="1"/>
    </w:lvl>
  </w:abstractNum>
  <w:abstractNum w:abstractNumId="73">
    <w:nsid w:val="74DE0EE3"/>
    <w:multiLevelType w:val="hybridMultilevel"/>
    <w:lvl w:ilvl="0">
      <w:lvlJc w:val="left"/>
      <w:lvlText w:val="%1."/>
      <w:numFmt w:val="decimal"/>
      <w:start w:val="1"/>
    </w:lvl>
  </w:abstractNum>
  <w:abstractNum w:abstractNumId="74">
    <w:nsid w:val="68EBC550"/>
    <w:multiLevelType w:val="hybridMultilevel"/>
    <w:lvl w:ilvl="0">
      <w:lvlJc w:val="left"/>
      <w:lvlText w:val="(%1)"/>
      <w:numFmt w:val="decimal"/>
      <w:start w:val="1"/>
    </w:lvl>
    <w:lvl w:ilvl="1">
      <w:lvlJc w:val="left"/>
      <w:lvlText w:val="(%2)"/>
      <w:numFmt w:val="lowerRoman"/>
      <w:start w:val="1"/>
    </w:lvl>
  </w:abstractNum>
  <w:abstractNum w:abstractNumId="75">
    <w:nsid w:val="2DF6D648"/>
    <w:multiLevelType w:val="hybridMultilevel"/>
    <w:lvl w:ilvl="0">
      <w:lvlJc w:val="left"/>
      <w:lvlText w:val="(%1)"/>
      <w:numFmt w:val="decimal"/>
      <w:start w:val="3"/>
    </w:lvl>
    <w:lvl w:ilvl="1">
      <w:lvlJc w:val="left"/>
      <w:lvlText w:val="(%2)"/>
      <w:numFmt w:val="lowerRoman"/>
      <w:start w:val="1"/>
    </w:lvl>
  </w:abstractNum>
  <w:abstractNum w:abstractNumId="76">
    <w:nsid w:val="46B7D447"/>
    <w:multiLevelType w:val="hybridMultilevel"/>
    <w:lvl w:ilvl="0">
      <w:lvlJc w:val="left"/>
      <w:lvlText w:val="(%1)"/>
      <w:numFmt w:val="decimal"/>
      <w:start w:val="7"/>
    </w:lvl>
    <w:lvl w:ilvl="1">
      <w:lvlJc w:val="left"/>
      <w:lvlText w:val="(%2)"/>
      <w:numFmt w:val="lowerRoman"/>
      <w:start w:val="1"/>
    </w:lvl>
  </w:abstractNum>
  <w:abstractNum w:abstractNumId="77">
    <w:nsid w:val="4A2AC315"/>
    <w:multiLevelType w:val="hybridMultilevel"/>
    <w:lvl w:ilvl="0">
      <w:lvlJc w:val="left"/>
      <w:lvlText w:val="%1"/>
      <w:numFmt w:val="decimal"/>
      <w:start w:val="1"/>
    </w:lvl>
    <w:lvl w:ilvl="1">
      <w:lvlJc w:val="left"/>
      <w:lvlText w:val="(%2)"/>
      <w:numFmt w:val="lowerRoman"/>
      <w:start w:val="4"/>
    </w:lvl>
    <w:lvl w:ilvl="2">
      <w:lvlJc w:val="left"/>
      <w:lvlText w:val="%3"/>
      <w:numFmt w:val="upperLetter"/>
      <w:start w:val="1"/>
    </w:lvl>
    <w:lvl w:ilvl="3">
      <w:lvlJc w:val="left"/>
      <w:lvlText w:val="%4"/>
      <w:numFmt w:val="decimal"/>
      <w:start w:val="1"/>
    </w:lvl>
  </w:abstractNum>
  <w:abstractNum w:abstractNumId="78">
    <w:nsid w:val="39EE015C"/>
    <w:multiLevelType w:val="hybridMultilevel"/>
    <w:lvl w:ilvl="0">
      <w:lvlJc w:val="left"/>
      <w:lvlText w:val="(%1)"/>
      <w:numFmt w:val="decimal"/>
      <w:start w:val="8"/>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79">
    <w:nsid w:val="57FC4FBB"/>
    <w:multiLevelType w:val="hybridMultilevel"/>
    <w:lvl w:ilvl="0">
      <w:lvlJc w:val="left"/>
      <w:lvlText w:val="%1."/>
      <w:numFmt w:val="lowerLetter"/>
      <w:start w:val="1"/>
    </w:lvl>
  </w:abstractNum>
  <w:abstractNum w:abstractNumId="80">
    <w:nsid w:val="CC1016F"/>
    <w:multiLevelType w:val="hybridMultilevel"/>
    <w:lvl w:ilvl="0">
      <w:lvlJc w:val="left"/>
      <w:lvlText w:val="%1"/>
      <w:numFmt w:val="decimal"/>
      <w:start w:val="1"/>
    </w:lvl>
    <w:lvl w:ilvl="1">
      <w:lvlJc w:val="left"/>
      <w:lvlText w:val="(%2)"/>
      <w:numFmt w:val="lowerRoman"/>
      <w:start w:val="2"/>
    </w:lvl>
    <w:lvl w:ilvl="2">
      <w:lvlJc w:val="left"/>
      <w:lvlText w:val="(%3)"/>
      <w:numFmt w:val="upperLetter"/>
      <w:start w:val="1"/>
    </w:lvl>
  </w:abstractNum>
  <w:abstractNum w:abstractNumId="81">
    <w:nsid w:val="43F18422"/>
    <w:multiLevelType w:val="hybridMultilevel"/>
    <w:lvl w:ilvl="0">
      <w:lvlJc w:val="left"/>
      <w:lvlText w:val="(%1)"/>
      <w:numFmt w:val="decimal"/>
      <w:start w:val="17"/>
    </w:lvl>
    <w:lvl w:ilvl="1">
      <w:lvlJc w:val="left"/>
      <w:lvlText w:val="(%2)"/>
      <w:numFmt w:val="lowerRoman"/>
      <w:start w:val="1"/>
    </w:lvl>
    <w:lvl w:ilvl="2">
      <w:lvlJc w:val="left"/>
      <w:lvlText w:val="%3"/>
      <w:numFmt w:val="upperLetter"/>
      <w:start w:val="1"/>
    </w:lvl>
  </w:abstractNum>
  <w:abstractNum w:abstractNumId="82">
    <w:nsid w:val="60EF0119"/>
    <w:multiLevelType w:val="hybridMultilevel"/>
    <w:lvl w:ilvl="0">
      <w:lvlJc w:val="left"/>
      <w:lvlText w:val="(%1)"/>
      <w:numFmt w:val="decimal"/>
      <w:start w:val="19"/>
    </w:lvl>
    <w:lvl w:ilvl="1">
      <w:lvlJc w:val="left"/>
      <w:lvlText w:val="(%2)"/>
      <w:numFmt w:val="lowerRoman"/>
      <w:start w:val="1"/>
    </w:lvl>
    <w:lvl w:ilvl="2">
      <w:lvlJc w:val="left"/>
      <w:lvlText w:val="(%3)"/>
      <w:numFmt w:val="upperLetter"/>
      <w:start w:val="1"/>
    </w:lvl>
  </w:abstractNum>
  <w:abstractNum w:abstractNumId="83">
    <w:nsid w:val="26F324BA"/>
    <w:multiLevelType w:val="hybridMultilevel"/>
    <w:lvl w:ilvl="0">
      <w:lvlJc w:val="left"/>
      <w:lvlText w:val="(%1)"/>
      <w:numFmt w:val="decimal"/>
      <w:start w:val="24"/>
    </w:lvl>
  </w:abstractNum>
  <w:abstractNum w:abstractNumId="84">
    <w:nsid w:val="7F01579B"/>
    <w:multiLevelType w:val="hybridMultilevel"/>
    <w:lvl w:ilvl="0">
      <w:lvlJc w:val="left"/>
      <w:lvlText w:val="%1."/>
      <w:numFmt w:val="lowerLetter"/>
      <w:start w:val="1"/>
    </w:lvl>
  </w:abstractNum>
  <w:abstractNum w:abstractNumId="85">
    <w:nsid w:val="49DA307D"/>
    <w:multiLevelType w:val="hybridMultilevel"/>
    <w:lvl w:ilvl="0">
      <w:lvlJc w:val="left"/>
      <w:lvlText w:val="%1"/>
      <w:numFmt w:val="decimal"/>
      <w:start w:val="1"/>
    </w:lvl>
    <w:lvl w:ilvl="1">
      <w:lvlJc w:val="left"/>
      <w:lvlText w:val="%2."/>
      <w:numFmt w:val="lowerLetter"/>
      <w:start w:val="1"/>
    </w:lvl>
  </w:abstractNum>
  <w:abstractNum w:abstractNumId="86">
    <w:nsid w:val="7055A5F5"/>
    <w:multiLevelType w:val="hybridMultilevel"/>
    <w:lvl w:ilvl="0">
      <w:lvlJc w:val="left"/>
      <w:lvlText w:val="(%1)"/>
      <w:numFmt w:val="decimal"/>
      <w:start w:val="27"/>
    </w:lvl>
    <w:lvl w:ilvl="1">
      <w:lvlJc w:val="left"/>
      <w:lvlText w:val="%2"/>
      <w:numFmt w:val="lowerLetter"/>
      <w:start w:val="1"/>
    </w:lvl>
  </w:abstractNum>
  <w:abstractNum w:abstractNumId="87">
    <w:nsid w:val="5FB8370B"/>
    <w:multiLevelType w:val="hybridMultilevel"/>
    <w:lvl w:ilvl="0">
      <w:lvlJc w:val="left"/>
      <w:lvlText w:val="(%1)"/>
      <w:numFmt w:val="decimal"/>
      <w:start w:val="30"/>
    </w:lvl>
    <w:lvl w:ilvl="1">
      <w:lvlJc w:val="left"/>
      <w:lvlText w:val="(%2)"/>
      <w:numFmt w:val="lowerRoman"/>
      <w:start w:val="1"/>
    </w:lvl>
  </w:abstractNum>
  <w:abstractNum w:abstractNumId="88">
    <w:nsid w:val="50801EE1"/>
    <w:multiLevelType w:val="hybridMultilevel"/>
    <w:lvl w:ilvl="0">
      <w:lvlJc w:val="left"/>
      <w:lvlText w:val="%1"/>
      <w:numFmt w:val="decimal"/>
      <w:start w:val="1"/>
    </w:lvl>
    <w:lvl w:ilvl="1">
      <w:lvlJc w:val="left"/>
      <w:lvlText w:val="(%2)"/>
      <w:numFmt w:val="lowerRoman"/>
      <w:start w:val="2"/>
    </w:lvl>
    <w:lvl w:ilvl="2">
      <w:lvlJc w:val="left"/>
      <w:lvlText w:val="●"/>
      <w:numFmt w:val="bullet"/>
      <w:start w:val="1"/>
    </w:lvl>
    <w:lvl w:ilvl="3">
      <w:lvlJc w:val="left"/>
      <w:lvlText w:val="●"/>
      <w:numFmt w:val="bullet"/>
      <w:start w:val="1"/>
    </w:lvl>
  </w:abstractNum>
  <w:abstractNum w:abstractNumId="89">
    <w:nsid w:val="488AC1A"/>
    <w:multiLevelType w:val="hybridMultilevel"/>
    <w:lvl w:ilvl="0">
      <w:lvlJc w:val="left"/>
      <w:lvlText w:val="(%1)"/>
      <w:numFmt w:val="decimal"/>
      <w:start w:val="32"/>
    </w:lvl>
    <w:lvl w:ilvl="1">
      <w:lvlJc w:val="left"/>
      <w:lvlText w:val="%2"/>
      <w:numFmt w:val="lowerRoman"/>
      <w:start w:val="1"/>
    </w:lvl>
    <w:lvl w:ilvl="2">
      <w:lvlJc w:val="left"/>
      <w:lvlText w:val="●"/>
      <w:numFmt w:val="bullet"/>
      <w:start w:val="1"/>
    </w:lvl>
    <w:lvl w:ilvl="3">
      <w:lvlJc w:val="left"/>
      <w:lvlText w:val="●"/>
      <w:numFmt w:val="bullet"/>
      <w:start w:val="1"/>
    </w:lvl>
  </w:abstractNum>
  <w:abstractNum w:abstractNumId="90">
    <w:nsid w:val="5FB8011C"/>
    <w:multiLevelType w:val="hybridMultilevel"/>
    <w:lvl w:ilvl="0">
      <w:lvlJc w:val="left"/>
      <w:lvlText w:val="(%1)"/>
      <w:numFmt w:val="upperLetter"/>
      <w:start w:val="1"/>
    </w:lvl>
  </w:abstractNum>
  <w:abstractNum w:abstractNumId="91">
    <w:nsid w:val="6AA78F7F"/>
    <w:multiLevelType w:val="hybridMultilevel"/>
    <w:lvl w:ilvl="0">
      <w:lvlJc w:val="left"/>
      <w:lvlText w:val="(%1)"/>
      <w:numFmt w:val="lowerRoman"/>
      <w:start w:val="2"/>
    </w:lvl>
  </w:abstractNum>
  <w:abstractNum w:abstractNumId="92">
    <w:nsid w:val="7672BD23"/>
    <w:multiLevelType w:val="hybridMultilevel"/>
    <w:lvl w:ilvl="0">
      <w:lvlJc w:val="left"/>
      <w:lvlText w:val="(%1)"/>
      <w:numFmt w:val="upperLetter"/>
      <w:start w:val="1"/>
    </w:lvl>
  </w:abstractNum>
  <w:abstractNum w:abstractNumId="93">
    <w:nsid w:val="6FC75AF8"/>
    <w:multiLevelType w:val="hybridMultilevel"/>
    <w:lvl w:ilvl="0">
      <w:lvlJc w:val="left"/>
      <w:lvlText w:val="(%1)"/>
      <w:numFmt w:val="lowerRoman"/>
      <w:start w:val="5"/>
    </w:lvl>
  </w:abstractNum>
  <w:abstractNum w:abstractNumId="94">
    <w:nsid w:val="6A5F7029"/>
    <w:multiLevelType w:val="hybridMultilevel"/>
    <w:lvl w:ilvl="0">
      <w:lvlJc w:val="left"/>
      <w:lvlText w:val="(%1)"/>
      <w:numFmt w:val="lowerRoman"/>
      <w:start w:val="1"/>
    </w:lvl>
  </w:abstractNum>
  <w:abstractNum w:abstractNumId="95">
    <w:nsid w:val="7D5E18F8"/>
    <w:multiLevelType w:val="hybridMultilevel"/>
    <w:lvl w:ilvl="0">
      <w:lvlJc w:val="left"/>
      <w:lvlText w:val="(%1)"/>
      <w:numFmt w:val="lowerRoman"/>
      <w:start w:val="1"/>
    </w:lvl>
  </w:abstractNum>
  <w:abstractNum w:abstractNumId="96">
    <w:nsid w:val="5F3534A4"/>
    <w:multiLevelType w:val="hybridMultilevel"/>
    <w:lvl w:ilvl="0">
      <w:lvlJc w:val="left"/>
      <w:lvlText w:val="(%1)"/>
      <w:numFmt w:val="lowerRoman"/>
      <w:start w:val="2"/>
    </w:lvl>
  </w:abstractNum>
  <w:abstractNum w:abstractNumId="97">
    <w:nsid w:val="73A1821B"/>
    <w:multiLevelType w:val="hybridMultilevel"/>
    <w:lvl w:ilvl="0">
      <w:lvlJc w:val="left"/>
      <w:lvlText w:val="%1."/>
      <w:numFmt w:val="decimal"/>
      <w:start w:val="1"/>
    </w:lvl>
  </w:abstractNum>
  <w:abstractNum w:abstractNumId="98">
    <w:nsid w:val="7DE67713"/>
    <w:multiLevelType w:val="hybridMultilevel"/>
    <w:lvl w:ilvl="0">
      <w:lvlJc w:val="left"/>
      <w:lvlText w:val="%1."/>
      <w:numFmt w:val="decimal"/>
      <w:start w:val="1"/>
    </w:lvl>
  </w:abstractNum>
  <w:abstractNum w:abstractNumId="99">
    <w:nsid w:val="555C55B5"/>
    <w:multiLevelType w:val="hybridMultilevel"/>
    <w:lvl w:ilvl="0">
      <w:lvlJc w:val="left"/>
      <w:lvlText w:val="%1."/>
      <w:numFmt w:val="decimal"/>
      <w:start w:val="2"/>
    </w:lvl>
  </w:abstractNum>
  <w:abstractNum w:abstractNumId="100">
    <w:nsid w:val="3FA62ACA"/>
    <w:multiLevelType w:val="hybridMultilevel"/>
    <w:lvl w:ilvl="0">
      <w:lvlJc w:val="left"/>
      <w:lvlText w:val="%1."/>
      <w:numFmt w:val="decimal"/>
      <w:start w:val="3"/>
    </w:lvl>
  </w:abstractNum>
  <w:abstractNum w:abstractNumId="101">
    <w:nsid w:val="14FCE74E"/>
    <w:multiLevelType w:val="hybridMultilevel"/>
    <w:lvl w:ilvl="0">
      <w:lvlJc w:val="left"/>
      <w:lvlText w:val="%1."/>
      <w:numFmt w:val="decimal"/>
      <w:start w:val="4"/>
    </w:lvl>
  </w:abstractNum>
  <w:abstractNum w:abstractNumId="102">
    <w:nsid w:val="6A3DD3E8"/>
    <w:multiLevelType w:val="hybridMultilevel"/>
    <w:lvl w:ilvl="0">
      <w:lvlJc w:val="left"/>
      <w:lvlText w:val="%1."/>
      <w:numFmt w:val="decimal"/>
      <w:start w:val="5"/>
    </w:lvl>
  </w:abstractNum>
  <w:abstractNum w:abstractNumId="103">
    <w:nsid w:val="71C91298"/>
    <w:multiLevelType w:val="hybridMultilevel"/>
    <w:lvl w:ilvl="0">
      <w:lvlJc w:val="left"/>
      <w:lvlText w:val="%1."/>
      <w:numFmt w:val="decimal"/>
      <w:start w:val="6"/>
    </w:lvl>
  </w:abstractNum>
  <w:abstractNum w:abstractNumId="104">
    <w:nsid w:val="9DAF632"/>
    <w:multiLevelType w:val="hybridMultilevel"/>
    <w:lvl w:ilvl="0">
      <w:lvlJc w:val="left"/>
      <w:lvlText w:val="(%1)"/>
      <w:numFmt w:val="lowerRoman"/>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19" Type="http://schemas.openxmlformats.org/officeDocument/2006/relationships/image" Target="media/image95.png"/><Relationship Id="rId135" Type="http://schemas.openxmlformats.org/officeDocument/2006/relationships/image" Target="media/image96.png"/><Relationship Id="rId136" Type="http://schemas.openxmlformats.org/officeDocument/2006/relationships/image" Target="media/image97.png"/><Relationship Id="rId137" Type="http://schemas.openxmlformats.org/officeDocument/2006/relationships/image" Target="media/image98.png"/><Relationship Id="rId138" Type="http://schemas.openxmlformats.org/officeDocument/2006/relationships/image" Target="media/image99.png"/><Relationship Id="rId139" Type="http://schemas.openxmlformats.org/officeDocument/2006/relationships/image" Target="media/image100.png"/><Relationship Id="rId140" Type="http://schemas.openxmlformats.org/officeDocument/2006/relationships/image" Target="media/image101.png"/><Relationship Id="rId141" Type="http://schemas.openxmlformats.org/officeDocument/2006/relationships/image" Target="media/image102.png"/><Relationship Id="rId142" Type="http://schemas.openxmlformats.org/officeDocument/2006/relationships/image" Target="media/image103.png"/><Relationship Id="rId143" Type="http://schemas.openxmlformats.org/officeDocument/2006/relationships/image" Target="media/image104.png"/><Relationship Id="rId144" Type="http://schemas.openxmlformats.org/officeDocument/2006/relationships/image" Target="media/image105.png"/><Relationship Id="rId145" Type="http://schemas.openxmlformats.org/officeDocument/2006/relationships/image" Target="media/image106.png"/><Relationship Id="rId146" Type="http://schemas.openxmlformats.org/officeDocument/2006/relationships/image" Target="media/image107.png"/><Relationship Id="rId147" Type="http://schemas.openxmlformats.org/officeDocument/2006/relationships/image" Target="media/image108.png"/><Relationship Id="rId148" Type="http://schemas.openxmlformats.org/officeDocument/2006/relationships/image" Target="media/image109.png"/><Relationship Id="rId149" Type="http://schemas.openxmlformats.org/officeDocument/2006/relationships/image" Target="media/image110.png"/><Relationship Id="rId150" Type="http://schemas.openxmlformats.org/officeDocument/2006/relationships/image" Target="media/image111.png"/><Relationship Id="rId151" Type="http://schemas.openxmlformats.org/officeDocument/2006/relationships/image" Target="media/image112.png"/><Relationship Id="rId152" Type="http://schemas.openxmlformats.org/officeDocument/2006/relationships/image" Target="media/image113.png"/><Relationship Id="rId153" Type="http://schemas.openxmlformats.org/officeDocument/2006/relationships/image" Target="media/image114.png"/><Relationship Id="rId154" Type="http://schemas.openxmlformats.org/officeDocument/2006/relationships/image" Target="media/image115.png"/><Relationship Id="rId155" Type="http://schemas.openxmlformats.org/officeDocument/2006/relationships/image" Target="media/image116.png"/><Relationship Id="rId156" Type="http://schemas.openxmlformats.org/officeDocument/2006/relationships/image" Target="media/image117.png"/><Relationship Id="rId157" Type="http://schemas.openxmlformats.org/officeDocument/2006/relationships/image" Target="media/image118.png"/><Relationship Id="rId158" Type="http://schemas.openxmlformats.org/officeDocument/2006/relationships/image" Target="media/image119.png"/><Relationship Id="rId159" Type="http://schemas.openxmlformats.org/officeDocument/2006/relationships/image" Target="media/image120.png"/><Relationship Id="rId160" Type="http://schemas.openxmlformats.org/officeDocument/2006/relationships/image" Target="media/image121.png"/><Relationship Id="rId161" Type="http://schemas.openxmlformats.org/officeDocument/2006/relationships/image" Target="media/image122.png"/><Relationship Id="rId162" Type="http://schemas.openxmlformats.org/officeDocument/2006/relationships/image" Target="media/image123.png"/><Relationship Id="rId163" Type="http://schemas.openxmlformats.org/officeDocument/2006/relationships/image" Target="media/image124.png"/><Relationship Id="rId164" Type="http://schemas.openxmlformats.org/officeDocument/2006/relationships/image" Target="media/image125.png"/><Relationship Id="rId165" Type="http://schemas.openxmlformats.org/officeDocument/2006/relationships/image" Target="media/image126.png"/><Relationship Id="rId166" Type="http://schemas.openxmlformats.org/officeDocument/2006/relationships/image" Target="media/image127.png"/><Relationship Id="rId167" Type="http://schemas.openxmlformats.org/officeDocument/2006/relationships/image" Target="media/image128.png"/><Relationship Id="rId168" Type="http://schemas.openxmlformats.org/officeDocument/2006/relationships/image" Target="media/image129.png"/><Relationship Id="rId169" Type="http://schemas.openxmlformats.org/officeDocument/2006/relationships/image" Target="media/image130.png"/><Relationship Id="rId170" Type="http://schemas.openxmlformats.org/officeDocument/2006/relationships/image" Target="media/image131.png"/><Relationship Id="rId171" Type="http://schemas.openxmlformats.org/officeDocument/2006/relationships/image" Target="media/image132.png"/><Relationship Id="rId172" Type="http://schemas.openxmlformats.org/officeDocument/2006/relationships/image" Target="media/image133.png"/><Relationship Id="rId173" Type="http://schemas.openxmlformats.org/officeDocument/2006/relationships/image" Target="media/image134.png"/><Relationship Id="rId174" Type="http://schemas.openxmlformats.org/officeDocument/2006/relationships/image" Target="media/image135.png"/><Relationship Id="rId175" Type="http://schemas.openxmlformats.org/officeDocument/2006/relationships/image" Target="media/image136.png"/><Relationship Id="rId176" Type="http://schemas.openxmlformats.org/officeDocument/2006/relationships/image" Target="media/image137.png"/><Relationship Id="rId177" Type="http://schemas.openxmlformats.org/officeDocument/2006/relationships/image" Target="media/image138.jpeg"/><Relationship Id="rId178" Type="http://schemas.openxmlformats.org/officeDocument/2006/relationships/image" Target="media/image139.png"/><Relationship Id="rId179" Type="http://schemas.openxmlformats.org/officeDocument/2006/relationships/image" Target="media/image140.png"/><Relationship Id="rId180" Type="http://schemas.openxmlformats.org/officeDocument/2006/relationships/image" Target="media/image141.png"/><Relationship Id="rId181" Type="http://schemas.openxmlformats.org/officeDocument/2006/relationships/image" Target="media/image142.png"/><Relationship Id="rId182" Type="http://schemas.openxmlformats.org/officeDocument/2006/relationships/image" Target="media/image143.png"/><Relationship Id="rId183" Type="http://schemas.openxmlformats.org/officeDocument/2006/relationships/image" Target="media/image144.png"/><Relationship Id="rId184" Type="http://schemas.openxmlformats.org/officeDocument/2006/relationships/image" Target="media/image145.png"/><Relationship Id="rId185" Type="http://schemas.openxmlformats.org/officeDocument/2006/relationships/image" Target="media/image146.png"/><Relationship Id="rId186" Type="http://schemas.openxmlformats.org/officeDocument/2006/relationships/image" Target="media/image147.png"/><Relationship Id="rId187" Type="http://schemas.openxmlformats.org/officeDocument/2006/relationships/image" Target="media/image148.png"/><Relationship Id="rId188" Type="http://schemas.openxmlformats.org/officeDocument/2006/relationships/image" Target="media/image149.jpeg"/><Relationship Id="rId189" Type="http://schemas.openxmlformats.org/officeDocument/2006/relationships/image" Target="media/image150.png"/><Relationship Id="rId190" Type="http://schemas.openxmlformats.org/officeDocument/2006/relationships/image" Target="media/image151.jpeg"/><Relationship Id="rId191" Type="http://schemas.openxmlformats.org/officeDocument/2006/relationships/image" Target="media/image152.jpeg"/><Relationship Id="rId192" Type="http://schemas.openxmlformats.org/officeDocument/2006/relationships/image" Target="media/image153.png"/><Relationship Id="rId193" Type="http://schemas.openxmlformats.org/officeDocument/2006/relationships/image" Target="media/image154.jpeg"/><Relationship Id="rId194" Type="http://schemas.openxmlformats.org/officeDocument/2006/relationships/image" Target="media/image155.png"/><Relationship Id="rId195" Type="http://schemas.openxmlformats.org/officeDocument/2006/relationships/image" Target="media/image156.jpeg"/><Relationship Id="rId196" Type="http://schemas.openxmlformats.org/officeDocument/2006/relationships/image" Target="media/image157.png"/><Relationship Id="rId197" Type="http://schemas.openxmlformats.org/officeDocument/2006/relationships/image" Target="media/image158.png"/><Relationship Id="rId198" Type="http://schemas.openxmlformats.org/officeDocument/2006/relationships/image" Target="media/image159.jpeg"/><Relationship Id="rId199" Type="http://schemas.openxmlformats.org/officeDocument/2006/relationships/image" Target="media/image160.png"/><Relationship Id="rId200" Type="http://schemas.openxmlformats.org/officeDocument/2006/relationships/image" Target="media/image161.jpeg"/><Relationship Id="rId201" Type="http://schemas.openxmlformats.org/officeDocument/2006/relationships/image" Target="media/image162.png"/><Relationship Id="rId202" Type="http://schemas.openxmlformats.org/officeDocument/2006/relationships/image" Target="media/image163.jpeg"/><Relationship Id="rId203" Type="http://schemas.openxmlformats.org/officeDocument/2006/relationships/image" Target="media/image164.png"/><Relationship Id="rId204" Type="http://schemas.openxmlformats.org/officeDocument/2006/relationships/image" Target="media/image165.jpeg"/><Relationship Id="rId205" Type="http://schemas.openxmlformats.org/officeDocument/2006/relationships/image" Target="media/image166.png"/><Relationship Id="rId206" Type="http://schemas.openxmlformats.org/officeDocument/2006/relationships/image" Target="media/image167.png"/><Relationship Id="rId207" Type="http://schemas.openxmlformats.org/officeDocument/2006/relationships/image" Target="media/image168.jpeg"/><Relationship Id="rId208" Type="http://schemas.openxmlformats.org/officeDocument/2006/relationships/image" Target="media/image169.png"/><Relationship Id="rId209" Type="http://schemas.openxmlformats.org/officeDocument/2006/relationships/image" Target="media/image170.png"/><Relationship Id="rId210" Type="http://schemas.openxmlformats.org/officeDocument/2006/relationships/image" Target="media/image171.png"/><Relationship Id="rId211" Type="http://schemas.openxmlformats.org/officeDocument/2006/relationships/image" Target="media/image172.png"/><Relationship Id="rId212" Type="http://schemas.openxmlformats.org/officeDocument/2006/relationships/image" Target="media/image173.png"/><Relationship Id="rId213" Type="http://schemas.openxmlformats.org/officeDocument/2006/relationships/image" Target="media/image174.png"/><Relationship Id="rId214" Type="http://schemas.openxmlformats.org/officeDocument/2006/relationships/image" Target="media/image175.png"/><Relationship Id="rId215" Type="http://schemas.openxmlformats.org/officeDocument/2006/relationships/image" Target="media/image176.png"/><Relationship Id="rId216" Type="http://schemas.openxmlformats.org/officeDocument/2006/relationships/image" Target="media/image177.png"/><Relationship Id="rId217" Type="http://schemas.openxmlformats.org/officeDocument/2006/relationships/image" Target="media/image178.png"/><Relationship Id="rId218" Type="http://schemas.openxmlformats.org/officeDocument/2006/relationships/image" Target="media/image179.png"/><Relationship Id="rId219" Type="http://schemas.openxmlformats.org/officeDocument/2006/relationships/image" Target="media/image180.png"/><Relationship Id="rId220" Type="http://schemas.openxmlformats.org/officeDocument/2006/relationships/image" Target="media/image181.png"/><Relationship Id="rId221" Type="http://schemas.openxmlformats.org/officeDocument/2006/relationships/image" Target="media/image182.png"/><Relationship Id="rId222" Type="http://schemas.openxmlformats.org/officeDocument/2006/relationships/image" Target="media/image183.png"/><Relationship Id="rId223" Type="http://schemas.openxmlformats.org/officeDocument/2006/relationships/image" Target="media/image184.png"/><Relationship Id="rId224" Type="http://schemas.openxmlformats.org/officeDocument/2006/relationships/image" Target="media/image185.png"/><Relationship Id="rId225" Type="http://schemas.openxmlformats.org/officeDocument/2006/relationships/image" Target="media/image186.png"/><Relationship Id="rId226" Type="http://schemas.openxmlformats.org/officeDocument/2006/relationships/image" Target="media/image187.png"/><Relationship Id="rId102" Type="http://schemas.openxmlformats.org/officeDocument/2006/relationships/hyperlink" Target="https://www.sec.gov/Archives/edgar/data/1006655/000155837023001024/epm-20221231xex3d1.htm" TargetMode="External"/><Relationship Id="rId103" Type="http://schemas.openxmlformats.org/officeDocument/2006/relationships/hyperlink" Target="https://www.sec.gov/Archives/edgar/data/1006655/000114420406028393/v047518_8-a12b.txt" TargetMode="External"/><Relationship Id="rId104" Type="http://schemas.openxmlformats.org/officeDocument/2006/relationships/hyperlink" Target="https://www.sec.gov/Archives/edgar/data/1006655/000104746913007064/a2215678zex-4_7.htm" TargetMode="External"/><Relationship Id="rId105" Type="http://schemas.openxmlformats.org/officeDocument/2006/relationships/hyperlink" Target="https://www.sec.gov/Archives/edgar/data/1006655/000110465912072751/a12-25758_1ex99d1.htm" TargetMode="External"/><Relationship Id="rId106" Type="http://schemas.openxmlformats.org/officeDocument/2006/relationships/hyperlink" Target="https://www.sec.gov/Archives/edgar/data/1006655/000100665517000004/exhibit1012016equityincent.htm" TargetMode="External"/><Relationship Id="rId107" Type="http://schemas.openxmlformats.org/officeDocument/2006/relationships/hyperlink" Target="https://www.sec.gov/Archives/edgar/data/1006655/000100665518000004/a41rstkagmtform_2016equity.htm" TargetMode="External"/><Relationship Id="rId108" Type="http://schemas.openxmlformats.org/officeDocument/2006/relationships/hyperlink" Target="https://www.sec.gov/Archives/edgar/data/1006655/000100665519000033/epm-2016restrictedstockawa.htm" TargetMode="External"/><Relationship Id="rId109" Type="http://schemas.openxmlformats.org/officeDocument/2006/relationships/hyperlink" Target="https://www.sec.gov/Archives/edgar/data/1006655/000100665518000004/a42crstkagmtform_2016equit.htm" TargetMode="External"/><Relationship Id="rId110" Type="http://schemas.openxmlformats.org/officeDocument/2006/relationships/hyperlink" Target="https://www.sec.gov/Archives/edgar/data/1006655/000100665519000033/epm-2016performanceshareun.htm" TargetMode="External"/><Relationship Id="rId111" Type="http://schemas.openxmlformats.org/officeDocument/2006/relationships/hyperlink" Target="https://www.sec.gov/Archives/edgar/data/1006655/000114420406039551/v053291_ex10-1.txt" TargetMode="External"/><Relationship Id="rId112" Type="http://schemas.openxmlformats.org/officeDocument/2006/relationships/hyperlink" Target="https://www.sec.gov/Archives/edgar/data/1006655/000100665516000094/midfirstevolutioncreditagr.htm" TargetMode="External"/><Relationship Id="rId113" Type="http://schemas.openxmlformats.org/officeDocument/2006/relationships/hyperlink" Target="https://www.sec.gov/Archives/edgar/data/1006655/000100665516000146/exh1011stamendmenttocredit.htm" TargetMode="External"/><Relationship Id="rId114" Type="http://schemas.openxmlformats.org/officeDocument/2006/relationships/hyperlink" Target="https://www.sec.gov/Archives/edgar/data/1006655/000100665518000004/a101_2ndamendmentxmidfirst.htm" TargetMode="External"/><Relationship Id="rId115" Type="http://schemas.openxmlformats.org/officeDocument/2006/relationships/hyperlink" Target="https://www.sec.gov/Archives/edgar/data/1006655/000100665518000045/thirdamendtocreditagreemen.htm" TargetMode="External"/><Relationship Id="rId116" Type="http://schemas.openxmlformats.org/officeDocument/2006/relationships/hyperlink" Target="https://www.sec.gov/Archives/edgar/data/1006655/000100665519000008/exh4thamendttomidfirstcr.htm" TargetMode="External"/><Relationship Id="rId117" Type="http://schemas.openxmlformats.org/officeDocument/2006/relationships/hyperlink" Target="https://www.sec.gov/Archives/edgar/data/1006655/000100665520000028/signaturepacket-fifthame.htm" TargetMode="External"/><Relationship Id="rId118" Type="http://schemas.openxmlformats.org/officeDocument/2006/relationships/hyperlink" Target="https://www.sec.gov/Archives/edgar/data/1006655/000100665521000002/exh1016thamendment.htm" TargetMode="External"/><Relationship Id="rId120" Type="http://schemas.openxmlformats.org/officeDocument/2006/relationships/hyperlink" Target="https://www.sec.gov/Archives/edgar/data/1006655/000100665522000027/a7thamendment.htm" TargetMode="External"/><Relationship Id="rId121" Type="http://schemas.openxmlformats.org/officeDocument/2006/relationships/hyperlink" Target="https://www.sec.gov/Archives/edgar/data/1006655/000100665521000049/exhibit101midfirst_evoluti.htm" TargetMode="External"/><Relationship Id="rId122" Type="http://schemas.openxmlformats.org/officeDocument/2006/relationships/hyperlink" Target="https://www.sec.gov/Archives/edgar/data/1006655/000100665522000027/a9thamendment_executed.htm" TargetMode="External"/><Relationship Id="rId123" Type="http://schemas.openxmlformats.org/officeDocument/2006/relationships/hyperlink" Target="https://www.sec.gov/Archives/edgar/data/1006655/000155837023009105/epm-20230331xex10d210.htm" TargetMode="External"/><Relationship Id="rId124" Type="http://schemas.openxmlformats.org/officeDocument/2006/relationships/hyperlink" Target="https://www.sec.gov/Archives/edgar/data/1006655/000100665516000132/dnrsettlementexh107.htm" TargetMode="External"/><Relationship Id="rId125" Type="http://schemas.openxmlformats.org/officeDocument/2006/relationships/hyperlink" Target="https://www.sec.gov/Archives/edgar/data/1006655/000100665521000037/a1012stashofferletter_sign.htm" TargetMode="External"/><Relationship Id="rId126" Type="http://schemas.openxmlformats.org/officeDocument/2006/relationships/hyperlink" Target="https://www.sec.gov/Archives/edgar/data/1006655/000100665521000020/tokyoevopsa-3x29x2021exe.htm" TargetMode="External"/><Relationship Id="rId127" Type="http://schemas.openxmlformats.org/officeDocument/2006/relationships/hyperlink" Target="https://www.sec.gov/Archives/edgar/data/1006655/000100665521000020/firstamendmenttopurchaseag.htm" TargetMode="External"/><Relationship Id="rId128" Type="http://schemas.openxmlformats.org/officeDocument/2006/relationships/hyperlink" Target="https://www.sec.gov/Archives/edgar/data/1006655/000100665521000020/secondamendmenttopurchasea.htm" TargetMode="External"/><Relationship Id="rId129" Type="http://schemas.openxmlformats.org/officeDocument/2006/relationships/hyperlink" Target="https://www.sec.gov/Archives/edgar/data/1006655/000100665521000020/thirdamendmenttopurchaseag.htm" TargetMode="External"/><Relationship Id="rId130" Type="http://schemas.openxmlformats.org/officeDocument/2006/relationships/hyperlink" Target="https://www.sec.gov/Archives/edgar/data/1006655/000100665522000027/psa114foundation.htm" TargetMode="External"/><Relationship Id="rId131" Type="http://schemas.openxmlformats.org/officeDocument/2006/relationships/hyperlink" Target="https://www.sec.gov/Archives/edgar/data/1006655/000100665522000027/exaroiiipsa-final_forxre.htm" TargetMode="External"/><Relationship Id="rId132" Type="http://schemas.openxmlformats.org/officeDocument/2006/relationships/hyperlink" Target="https://www.sec.gov/Archives/edgar/data/1006655/000155837023001024/epm-20221231xex10d3.htm" TargetMode="External"/><Relationship Id="rId133" Type="http://schemas.openxmlformats.org/officeDocument/2006/relationships/hyperlink" Target="https://www.sec.gov/Archives/edgar/data/1006655/000155837023009105/epm-20230331xex10d10.htm" TargetMode="External"/><Relationship Id="rId134" Type="http://schemas.openxmlformats.org/officeDocument/2006/relationships/hyperlink" Target="https://www.sec.gov/Archives/edgar/data/1006655/000100665521000037/ex141codeofconduc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2023-09-13T15:24:30Z</dcterms:created>
  <dcterms:modified xsi:type="dcterms:W3CDTF">2023-09-13T15:24:30Z</dcterms:modified>
</cp:coreProperties>
</file>