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12026_080941.xml.htm"/>
      <w:bookmarkStart w:id="1" w:name="ksform409212026_0809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Loyd Kelly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EVOLUTION PETROLEUM CORP</w:t>
              </w:r>
            </w:hyperlink>
            <w:r>
              <w:rPr/>
              <w:t xml:space="preserve"> [ </w:t>
            </w:r>
            <w:r>
              <w:rPr>
                <w:rFonts w:ascii="Times;serif" w:hAnsi="Times;serif"/>
                <w:color w:val="0000FF"/>
                <w:sz w:val="24"/>
                <w:shd w:fill="FFFFFF" w:val="clear"/>
              </w:rPr>
              <w:t>EPM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168,049</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585,277</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84,025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84,025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of Restricted Stock pursuant to Company's Amended and Restated 2016 Equity Incentive Plan, subject to vesting terms and performance goals.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Company granted performance stock units ("PSUs") pursuant to the Company's Amended and Restated 2016 Equity Incentive Plan. Each PSU represents a contingent right to receive one share of Issuer's common stock, subject to the attainment of performance goals and other vesting criteria. Common shares of stock will not be issued until the performance goals and other vesting criteria have been achieved.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W. LOYD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2310" TargetMode="External"/><Relationship Id="rId5" Type="http://schemas.openxmlformats.org/officeDocument/2006/relationships/hyperlink" Target="http://www.sec.gov/cgi-bin/browse-edgar?action=getcompany&amp;CIK=0001006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3611</Characters>
  <CharactersWithSpaces>4195</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