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December 31, 2023</w:t>
      </w:r>
    </w:p>
    <w:p>
      <w:pPr>
        <w:ind w:left="380" w:hanging="305"/>
        <w:spacing w:after="0" w:line="183" w:lineRule="auto"/>
        <w:tabs>
          <w:tab w:leader="none" w:pos="380" w:val="left"/>
        </w:tabs>
        <w:numPr>
          <w:ilvl w:val="0"/>
          <w:numId w:val="2"/>
        </w:numPr>
        <w:rPr>
          <w:rFonts w:ascii="MS PGothic" w:cs="MS PGothic" w:eastAsia="MS PGothic" w:hAnsi="MS PGothic"/>
          <w:sz w:val="37"/>
          <w:szCs w:val="37"/>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4" w:lineRule="exact"/>
        <w:rPr>
          <w:sz w:val="24"/>
          <w:szCs w:val="24"/>
          <w:color w:val="auto"/>
        </w:rPr>
      </w:pPr>
    </w:p>
    <w:p>
      <w:pPr>
        <w:ind w:left="3980"/>
        <w:spacing w:after="0"/>
        <w:tabs>
          <w:tab w:leader="none" w:pos="61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001-32942</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EVOLUTION PETROLEUM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2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b w:val="1"/>
                <w:bCs w:val="1"/>
                <w:color w:val="auto"/>
              </w:rPr>
              <w:t>41-1781991</w:t>
            </w:r>
          </w:p>
        </w:tc>
      </w:tr>
      <w:tr>
        <w:trPr>
          <w:trHeight w:val="203"/>
        </w:trPr>
        <w:tc>
          <w:tcPr>
            <w:tcW w:w="352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2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jc w:val="center"/>
              <w:ind w:right="1664"/>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190"/>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1155 Dairy Ashford Road, Suite 425, Houston, Texas 77079</w:t>
            </w:r>
          </w:p>
        </w:tc>
        <w:tc>
          <w:tcPr>
            <w:tcW w:w="3300" w:type="dxa"/>
            <w:vAlign w:val="bottom"/>
          </w:tcPr>
          <w:p>
            <w:pPr>
              <w:spacing w:after="0"/>
              <w:rPr>
                <w:sz w:val="16"/>
                <w:szCs w:val="16"/>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300" w:type="dxa"/>
            <w:vAlign w:val="bottom"/>
          </w:tcPr>
          <w:p>
            <w:pPr>
              <w:spacing w:after="0"/>
              <w:rPr>
                <w:sz w:val="14"/>
                <w:szCs w:val="14"/>
                <w:color w:val="auto"/>
              </w:rPr>
            </w:pPr>
          </w:p>
        </w:tc>
      </w:tr>
      <w:tr>
        <w:trPr>
          <w:trHeight w:val="173"/>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00" w:type="dxa"/>
            <w:vAlign w:val="bottom"/>
          </w:tcPr>
          <w:p>
            <w:pPr>
              <w:spacing w:after="0"/>
              <w:rPr>
                <w:sz w:val="14"/>
                <w:szCs w:val="14"/>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Common Stock, $0.001 par value</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EPM</w:t>
            </w: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NYSE American</w:t>
            </w:r>
          </w:p>
        </w:tc>
      </w:tr>
    </w:tbl>
    <w:p>
      <w:pPr>
        <w:spacing w:after="0" w:line="79"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1" w:right="839" w:bottom="1440" w:gutter="0" w:footer="0" w:header="0"/>
          <w:type w:val="continuous"/>
        </w:sectPr>
      </w:pPr>
    </w:p>
    <w:p>
      <w:pPr>
        <w:spacing w:after="0" w:line="16" w:lineRule="exact"/>
        <w:rPr>
          <w:sz w:val="24"/>
          <w:szCs w:val="24"/>
          <w:color w:val="auto"/>
        </w:rPr>
      </w:pPr>
    </w:p>
    <w:p>
      <w:pPr>
        <w:ind w:left="786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2">
            <w:col w:w="9220" w:space="660"/>
            <w:col w:w="340"/>
          </w:cols>
          <w:pgMar w:left="840" w:top="661" w:right="839" w:bottom="1440" w:gutter="0" w:footer="0" w:header="0"/>
          <w:type w:val="continuous"/>
        </w:sectPr>
      </w:pPr>
    </w:p>
    <w:p>
      <w:pPr>
        <w:spacing w:after="0" w:line="94" w:lineRule="exact"/>
        <w:rPr>
          <w:sz w:val="24"/>
          <w:szCs w:val="24"/>
          <w:color w:val="auto"/>
        </w:rPr>
      </w:pPr>
    </w:p>
    <w:p>
      <w:pPr>
        <w:ind w:right="3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right="3640"/>
        <w:spacing w:after="0" w:line="19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At February 2, 2024, 33,456,330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610870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233680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5"/>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EVOLUTION PETROLEUM CORPORATION</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gridSpan w:val="2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b w:val="1"/>
                <w:bCs w:val="1"/>
                <w:color w:val="000000"/>
              </w:rPr>
              <w:t>.</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 as of December 31, 2023 and June 30, 2023</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31, 2023 and 2022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4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December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31, 2023 and 2022</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w:t>
            </w: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six months ended December 31, 2023 and 2022</w:t>
            </w:r>
          </w:p>
        </w:tc>
        <w:tc>
          <w:tcPr>
            <w:tcW w:w="3940" w:type="dxa"/>
            <w:vAlign w:val="bottom"/>
            <w:tcBorders>
              <w:bottom w:val="single" w:sz="8" w:color="CCEEFF"/>
            </w:tcBorders>
            <w:gridSpan w:val="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gridSpan w:val="2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5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use the terms, “EPM,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192" w:lineRule="exact"/>
        <w:rPr>
          <w:sz w:val="20"/>
          <w:szCs w:val="20"/>
          <w:color w:val="auto"/>
        </w:rPr>
      </w:pPr>
    </w:p>
    <w:p>
      <w:pPr>
        <w:ind w:left="1040" w:right="31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plans, strategies and objectives, including anticipated development activity and capital spending;</w:t>
      </w:r>
    </w:p>
    <w:p>
      <w:pPr>
        <w:ind w:left="1040" w:right="79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multi-basin portfolio, including operational and commodity flexibility;</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cash flow and the application of excess cash flows to pay dividends and repurchase shares pursuant to our share repurchase program;</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natural gas liquids (“NGLs”) production and commodity mix;</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oil, natural gas and NGL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drilling and completions activity;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 reserves and recoverable quantities;</w:t>
      </w:r>
    </w:p>
    <w:p>
      <w:pPr>
        <w:spacing w:after="0" w:line="9" w:lineRule="exact"/>
        <w:rPr>
          <w:rFonts w:ascii="Times New Roman" w:cs="Times New Roman" w:eastAsia="Times New Roman" w:hAnsi="Times New Roman"/>
          <w:sz w:val="18"/>
          <w:szCs w:val="18"/>
          <w:color w:val="auto"/>
        </w:rPr>
      </w:pPr>
    </w:p>
    <w:p>
      <w:pPr>
        <w:ind w:left="1040" w:right="3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other sources of liquidity to meet financial obligations throughout commodity price cycles;</w:t>
      </w:r>
    </w:p>
    <w:p>
      <w:pPr>
        <w:ind w:left="1040" w:right="6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obtain funding based on environmental, social, and corporate governance (“ESG”) performance;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expense;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debt and financial ratios, finance growth and comply with financial covenants;</w:t>
      </w:r>
    </w:p>
    <w:p>
      <w:pPr>
        <w:spacing w:after="0" w:line="9" w:lineRule="exact"/>
        <w:rPr>
          <w:rFonts w:ascii="Times New Roman" w:cs="Times New Roman" w:eastAsia="Times New Roman" w:hAnsi="Times New Roman"/>
          <w:sz w:val="18"/>
          <w:szCs w:val="18"/>
          <w:color w:val="auto"/>
        </w:rPr>
      </w:pPr>
    </w:p>
    <w:p>
      <w:pPr>
        <w:ind w:left="1040" w:right="1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state, provincial and local, rules and regulations;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compliance with current or proposed environmental requirements, including the costs thereof;</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greenhouse gas (“GHG”) emissions limitations and renewable energy incentives;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provisions for abandonment and site reclamation costs;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flexibility, discipline and ability to respond to evolving market conditions;</w:t>
      </w:r>
    </w:p>
    <w:p>
      <w:pPr>
        <w:spacing w:after="0" w:line="9"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provision for taxes and legal claims;</w:t>
      </w:r>
    </w:p>
    <w:p>
      <w:pPr>
        <w:spacing w:after="0" w:line="9" w:lineRule="exact"/>
        <w:rPr>
          <w:rFonts w:ascii="Times New Roman" w:cs="Times New Roman" w:eastAsia="Times New Roman" w:hAnsi="Times New Roman"/>
          <w:sz w:val="18"/>
          <w:szCs w:val="18"/>
          <w:color w:val="auto"/>
        </w:rPr>
      </w:pPr>
    </w:p>
    <w:p>
      <w:pPr>
        <w:ind w:left="1040" w:right="11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 inflation and expected cost structures, including expected operating, transportation, processing and labor expenses;</w:t>
      </w:r>
    </w:p>
    <w:p>
      <w:pPr>
        <w:ind w:left="1040" w:right="5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competitiveness relative to our peers, including with respect to capital, materials, people, assets and production;</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inventories and global demand for oil, natural gas and NGLs;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staffing levels;</w:t>
      </w:r>
    </w:p>
    <w:p>
      <w:pPr>
        <w:spacing w:after="0" w:line="9"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accounting and tax pronouncements, rule changes and standards.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180"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commodity prices and basis differentials;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shelf prospectuses;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contained in our corporate guidance;</w:t>
      </w:r>
    </w:p>
    <w:p>
      <w:pPr>
        <w:spacing w:after="0" w:line="9"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gathering, transportation, processing and storage facilities;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tax, royalty and regulatory regimes;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assumptions contained herein.</w:t>
      </w:r>
    </w:p>
    <w:p>
      <w:pPr>
        <w:spacing w:after="0" w:line="20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section of our previously filed Annual Report on Form 10-K for the fiscal year ended June 30, 2023,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88"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left="15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BALANCE SHEETS (Unaudited) (In thousands, except share and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5660" w:type="dxa"/>
            <w:vAlign w:val="bottom"/>
            <w:tcBorders>
              <w:top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196"/>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21,195</w:t>
            </w:r>
          </w:p>
        </w:tc>
      </w:tr>
      <w:tr>
        <w:trPr>
          <w:trHeight w:val="19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depletion, depreciation, and impairment</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properties—full-cost method of accounting:</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subject to amortization, net</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105,781</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not subject to amortization</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105,781</w:t>
            </w:r>
          </w:p>
        </w:tc>
      </w:tr>
      <w:tr>
        <w:trPr>
          <w:trHeight w:val="203"/>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23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125,966</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128,317</w:t>
            </w:r>
          </w:p>
        </w:tc>
      </w:tr>
      <w:tr>
        <w:trPr>
          <w:trHeight w:val="183"/>
        </w:trPr>
        <w:tc>
          <w:tcPr>
            <w:tcW w:w="5660" w:type="dxa"/>
            <w:vAlign w:val="bottom"/>
            <w:shd w:val="clear" w:color="auto" w:fill="CCEEFF"/>
          </w:tcPr>
          <w:p>
            <w:pPr>
              <w:ind w:left="14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federal taxes payable</w:t>
            </w: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196"/>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12,283</w:t>
            </w:r>
          </w:p>
        </w:tc>
      </w:tr>
      <w:tr>
        <w:trPr>
          <w:trHeight w:val="19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liabilities</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17,012</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par value $0.001; 100,000,000 shares authorized: issued and</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 33,506,794 and 33,247,523 shares as of December 31, 2023</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June 30, 2023, respectively</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40,098</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51,963</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87,439</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92,094</w:t>
            </w:r>
          </w:p>
        </w:tc>
      </w:tr>
      <w:tr>
        <w:trPr>
          <w:trHeight w:val="196"/>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125,966</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128,317</w:t>
            </w:r>
          </w:p>
        </w:tc>
      </w:tr>
      <w:tr>
        <w:trPr>
          <w:trHeight w:val="20"/>
        </w:trPr>
        <w:tc>
          <w:tcPr>
            <w:tcW w:w="5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26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OPERATIONS (Unaudited) (In thousands, except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8"/>
                <w:szCs w:val="18"/>
                <w:color w:val="auto"/>
              </w:rPr>
            </w:pPr>
          </w:p>
        </w:tc>
      </w:tr>
      <w:tr>
        <w:trPr>
          <w:trHeight w:val="199"/>
        </w:trPr>
        <w:tc>
          <w:tcPr>
            <w:tcW w:w="44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9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w:t>
            </w:r>
          </w:p>
        </w:tc>
        <w:tc>
          <w:tcPr>
            <w:tcW w:w="1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13,100</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28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28,263</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37,218</w:t>
            </w:r>
          </w:p>
        </w:tc>
      </w:tr>
      <w:tr>
        <w:trPr>
          <w:trHeight w:val="203"/>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Natural gas liquids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7,992</w:t>
            </w:r>
          </w:p>
        </w:tc>
      </w:tr>
      <w:tr>
        <w:trPr>
          <w:trHeight w:val="19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41,625</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73,473</w:t>
            </w: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operating costs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24,241</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costs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38,206</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46,266</w:t>
            </w:r>
          </w:p>
        </w:tc>
      </w:tr>
      <w:tr>
        <w:trPr>
          <w:trHeight w:val="19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27,207</w:t>
            </w: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gain (loss) on derivative contracts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19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13,320</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27,091</w:t>
            </w:r>
          </w:p>
        </w:tc>
      </w:tr>
      <w:tr>
        <w:trPr>
          <w:trHeight w:val="20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(2,933)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(1,017)</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w:t>
            </w:r>
          </w:p>
        </w:tc>
      </w:tr>
      <w:tr>
        <w:trPr>
          <w:trHeight w:val="23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2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21,094</w:t>
            </w:r>
          </w:p>
        </w:tc>
      </w:tr>
      <w:tr>
        <w:trPr>
          <w:trHeight w:val="183"/>
        </w:trPr>
        <w:tc>
          <w:tcPr>
            <w:tcW w:w="4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Net income (loss) per common share: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8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33,154</w:t>
            </w: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33,356</w:t>
            </w: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24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CASH FLOWS (Unaudited) (In thousands)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9"/>
        </w:trPr>
        <w:tc>
          <w:tcPr>
            <w:tcW w:w="65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21,094</w:t>
            </w:r>
          </w:p>
        </w:tc>
      </w:tr>
      <w:tr>
        <w:trPr>
          <w:trHeight w:val="203"/>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w:t>
            </w:r>
          </w:p>
        </w:tc>
      </w:tr>
      <w:tr>
        <w:trPr>
          <w:trHeight w:val="20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02"/>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 of asset retirement obligations</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(642)</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3"/>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(gain) loss on derivative contracts</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r>
      <w:tr>
        <w:trPr>
          <w:trHeight w:val="20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03"/>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(2,239)</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w:t>
            </w:r>
          </w:p>
        </w:tc>
      </w:tr>
      <w:tr>
        <w:trPr>
          <w:trHeight w:val="203"/>
        </w:trPr>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03"/>
        </w:trPr>
        <w:tc>
          <w:tcPr>
            <w:tcW w:w="6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r>
      <w:tr>
        <w:trPr>
          <w:trHeight w:val="203"/>
        </w:trPr>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State and federal income taxes payable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96"/>
        </w:trPr>
        <w:tc>
          <w:tcPr>
            <w:tcW w:w="6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27,769</w:t>
            </w: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oil and natural gas properties</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 for oil and natural gas properties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(5,705)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196"/>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(8,034)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(8,085)</w:t>
            </w:r>
          </w:p>
        </w:tc>
      </w:tr>
      <w:tr>
        <w:trPr>
          <w:trHeight w:val="20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repurchases, including stock surrendered for tax withholding</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3"/>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senior secured credit facility</w:t>
            </w:r>
          </w:p>
        </w:tc>
        <w:tc>
          <w:tcPr>
            <w:tcW w:w="2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(21,250)</w:t>
            </w:r>
          </w:p>
        </w:tc>
      </w:tr>
      <w:tr>
        <w:trPr>
          <w:trHeight w:val="196"/>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(29,422)</w:t>
            </w:r>
          </w:p>
        </w:tc>
      </w:tr>
      <w:tr>
        <w:trPr>
          <w:trHeight w:val="196"/>
        </w:trPr>
        <w:tc>
          <w:tcPr>
            <w:tcW w:w="6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w:t>
            </w:r>
          </w:p>
        </w:tc>
      </w:tr>
      <w:tr>
        <w:trPr>
          <w:trHeight w:val="203"/>
        </w:trPr>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w:t>
            </w:r>
          </w:p>
        </w:tc>
      </w:tr>
      <w:tr>
        <w:trPr>
          <w:trHeight w:val="236"/>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w:t>
            </w:r>
          </w:p>
        </w:tc>
      </w:tr>
      <w:tr>
        <w:trPr>
          <w:trHeight w:val="183"/>
        </w:trPr>
        <w:tc>
          <w:tcPr>
            <w:tcW w:w="6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0"/>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 (decrease) in accrued capital expenditures for oil and natural gas properties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8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2023</w:t>
            </w: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September 30, 2023</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89,922</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33,507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40,920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46,485</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87,439</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December 31, 2023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2023</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92,094</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33,507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40,920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46,485</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87,439</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 December 31, 2022</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September 30,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82,377</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10,387</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(4,059)</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43,243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45,861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89,138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December 31, 2022</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2022</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33,471</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42,629</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32,852</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75,514</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21,094</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(8,085)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(8,085)</w:t>
            </w:r>
          </w:p>
        </w:tc>
        <w:tc>
          <w:tcPr>
            <w:tcW w:w="0" w:type="dxa"/>
            <w:vAlign w:val="bottom"/>
          </w:tcPr>
          <w:p>
            <w:pPr>
              <w:spacing w:after="0"/>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2022</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33,808</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43,243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45,861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89,138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Financial Statement Presentation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Evolution Petroleum Corporation (“Evolution,” and together with its consolidated subsidiaries,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spacing w:after="0" w:line="186" w:lineRule="exact"/>
        <w:rPr>
          <w:sz w:val="20"/>
          <w:szCs w:val="20"/>
          <w:color w:val="auto"/>
        </w:rPr>
      </w:pPr>
    </w:p>
    <w:p>
      <w:pPr>
        <w:ind w:left="60" w:right="179"/>
        <w:spacing w:after="0"/>
        <w:rPr>
          <w:sz w:val="20"/>
          <w:szCs w:val="20"/>
          <w:color w:val="auto"/>
        </w:rPr>
      </w:pPr>
      <w:r>
        <w:rPr>
          <w:rFonts w:ascii="Times New Roman" w:cs="Times New Roman" w:eastAsia="Times New Roman" w:hAnsi="Times New Roman"/>
          <w:sz w:val="18"/>
          <w:szCs w:val="18"/>
          <w:color w:val="auto"/>
        </w:rPr>
        <w:t xml:space="preserve">The Company’s oil and natural gas properties consist of non-operated interests in </w:t>
      </w:r>
      <w:r>
        <w:rPr>
          <w:rFonts w:ascii="Times New Roman" w:cs="Times New Roman" w:eastAsia="Times New Roman" w:hAnsi="Times New Roman"/>
          <w:sz w:val="18"/>
          <w:szCs w:val="18"/>
          <w:color w:val="333333"/>
        </w:rPr>
        <w:t>the following areas: the Jonah</w:t>
      </w:r>
      <w:r>
        <w:rPr>
          <w:rFonts w:ascii="Times New Roman" w:cs="Times New Roman" w:eastAsia="Times New Roman" w:hAnsi="Times New Roman"/>
          <w:sz w:val="18"/>
          <w:szCs w:val="18"/>
          <w:color w:val="auto"/>
        </w:rPr>
        <w:t xml:space="preserve"> Field in Sublette County, Wyoming, a natural gas and natural gas liquids producing field; the Williston Basin in North Dakota, producing oil and natural gas properties; the Barnett Shale located in North Texas, natural gas and natural gas liquids producing properties; the Hamilton Dome Field located in Hot Springs County, Wyoming, a secondary recovery field utilizing water injection wells to pressurize the reservoir; the Delhi Holt-Bryant Unit in the Delhi Field in Northeast Louisiana, a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enhanced oil recovery project; the Chaveroo oilfield in Chaves and Roosevelt Counties of New Mexico; as well as small overriding royalty interests in four onshore Texas wells.</w:t>
      </w:r>
    </w:p>
    <w:p>
      <w:pPr>
        <w:spacing w:after="0" w:line="19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Financial Statements.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2023 Annual Report on Form 10-K for the fiscal year ended June 30, 2023, as filed with the SEC on September 13, 2023.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spacing w:after="0" w:line="18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and Reporting. </w:t>
      </w:r>
      <w:r>
        <w:rPr>
          <w:rFonts w:ascii="Times New Roman" w:cs="Times New Roman" w:eastAsia="Times New Roman" w:hAnsi="Times New Roman"/>
          <w:sz w:val="18"/>
          <w:szCs w:val="18"/>
          <w:color w:val="auto"/>
        </w:rPr>
        <w:t>The unaudited condensed consolidated financial statements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To conform with the current year presentation, $0.6 million of accrued ad valorem and production taxes at June 30, 2023 are included with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other than federal and state income tax” </w:t>
      </w:r>
      <w:r>
        <w:rPr>
          <w:rFonts w:ascii="Times New Roman" w:cs="Times New Roman" w:eastAsia="Times New Roman" w:hAnsi="Times New Roman"/>
          <w:sz w:val="18"/>
          <w:szCs w:val="18"/>
          <w:color w:val="auto"/>
        </w:rPr>
        <w:t>instead of</w:t>
      </w:r>
      <w:r>
        <w:rPr>
          <w:rFonts w:ascii="Times New Roman" w:cs="Times New Roman" w:eastAsia="Times New Roman" w:hAnsi="Times New Roman"/>
          <w:sz w:val="18"/>
          <w:szCs w:val="18"/>
          <w:i w:val="1"/>
          <w:iCs w:val="1"/>
          <w:color w:val="auto"/>
        </w:rPr>
        <w:t xml:space="preserve"> “Accrued payables” </w:t>
      </w:r>
      <w:r>
        <w:rPr>
          <w:rFonts w:ascii="Times New Roman" w:cs="Times New Roman" w:eastAsia="Times New Roman" w:hAnsi="Times New Roman"/>
          <w:sz w:val="18"/>
          <w:szCs w:val="18"/>
          <w:color w:val="auto"/>
        </w:rPr>
        <w:t>as disclosed in Note 12,</w:t>
      </w:r>
      <w:r>
        <w:rPr>
          <w:rFonts w:ascii="Times New Roman" w:cs="Times New Roman" w:eastAsia="Times New Roman" w:hAnsi="Times New Roman"/>
          <w:sz w:val="18"/>
          <w:szCs w:val="18"/>
          <w:i w:val="1"/>
          <w:iCs w:val="1"/>
          <w:color w:val="auto"/>
        </w:rPr>
        <w:t xml:space="preserve"> “Additional Financial Statement Information.” </w:t>
      </w:r>
      <w:r>
        <w:rPr>
          <w:rFonts w:ascii="Times New Roman" w:cs="Times New Roman" w:eastAsia="Times New Roman" w:hAnsi="Times New Roman"/>
          <w:sz w:val="18"/>
          <w:szCs w:val="18"/>
          <w:color w:val="auto"/>
        </w:rPr>
        <w:t>This reclassification has no impact on the previously reported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net income or stockholders’ equity.</w:t>
      </w:r>
    </w:p>
    <w:p>
      <w:pPr>
        <w:spacing w:after="0" w:line="185"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Uncertainties. </w:t>
      </w:r>
      <w:r>
        <w:rPr>
          <w:rFonts w:ascii="Times New Roman" w:cs="Times New Roman" w:eastAsia="Times New Roman" w:hAnsi="Times New Roman"/>
          <w:sz w:val="18"/>
          <w:szCs w:val="18"/>
          <w:color w:val="auto"/>
        </w:rPr>
        <w:t>The Company’s oil and natural gas interests are operated by third-party operators and involve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third-party working interest owners. As a result, the Company has limited ability to influence the operation or future development of such properties. However, the Company is proactive with its third-party operators to review capital projects and related spending and present alternative plans as appropriate.</w:t>
      </w:r>
    </w:p>
    <w:p>
      <w:pPr>
        <w:spacing w:after="0" w:line="17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Properties. </w:t>
      </w:r>
      <w:r>
        <w:rPr>
          <w:rFonts w:ascii="Times New Roman" w:cs="Times New Roman" w:eastAsia="Times New Roman" w:hAnsi="Times New Roman"/>
          <w:sz w:val="18"/>
          <w:szCs w:val="18"/>
          <w:color w:val="auto"/>
        </w:rPr>
        <w:t>The Company uses the full-cost method of accounting for its investments in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producing leasehold, geologic and geophysical costs associated with leasehold or drilling interests, and exploration drilling costs. These costs are excluded until the project is evaluated and proved reserves are established or impairment is determined. The Company entered into a strategic partnership with PEDEVCO Corp. (“PEDEVCO”) on September 12, 2023, to jointly develop the Chaveroo oilfield in the Permian Basin in New Mexico (the “Chaveroo Field”). Per the terms of the participation agreement (the “Participation Agreement”) with PEDEVCO, Evolution paid for acreage associated with nine initial drilling locations totaling approximately $0.4 million. As of December 31, 2023, the Company recorded the payment for the initial acreage as unevaluated costs, excluded from the full cost pool. Refer to Note 3, “</w:t>
      </w:r>
      <w:r>
        <w:rPr>
          <w:rFonts w:ascii="Times New Roman" w:cs="Times New Roman" w:eastAsia="Times New Roman" w:hAnsi="Times New Roman"/>
          <w:sz w:val="18"/>
          <w:szCs w:val="18"/>
          <w:i w:val="1"/>
          <w:i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for further details.</w:t>
      </w:r>
    </w:p>
    <w:p>
      <w:pPr>
        <w:spacing w:after="0" w:line="18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Company’s unaudited condensed consolidated financial statements in conformity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w:t>
      </w:r>
    </w:p>
    <w:p>
      <w:pPr>
        <w:spacing w:after="0" w:line="3" w:lineRule="exact"/>
        <w:rPr>
          <w:sz w:val="20"/>
          <w:szCs w:val="20"/>
          <w:color w:val="auto"/>
        </w:rPr>
      </w:pPr>
    </w:p>
    <w:p>
      <w:pPr>
        <w:ind w:left="60" w:right="219" w:hanging="10"/>
        <w:spacing w:after="0" w:line="251"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Improvements to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xml:space="preserve"> (“ASU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spacing w:after="0" w:line="18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Times New Roman" w:cs="Times New Roman" w:eastAsia="Times New Roman" w:hAnsi="Times New Roman"/>
          <w:sz w:val="18"/>
          <w:szCs w:val="18"/>
          <w:i w:val="1"/>
          <w:iCs w:val="1"/>
          <w:color w:val="auto"/>
        </w:rPr>
        <w:t>Financial Instruments - Credit Losses (Topic 326), Derivatives and Hedging (Topic 815), and 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 ASU 2016-13 is effective for annual periods, including interim periods within those annual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2022. The Company adopted ASU 2016-13 effective July 1, 2023. The adoption did not have a material effect on the Company’s financial position, results of operations, cash flows or disclosures.</w:t>
      </w:r>
    </w:p>
    <w:p>
      <w:pPr>
        <w:spacing w:after="0" w:line="190"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9"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 xml:space="preserve">The Company’s revenues are primarily generated from its crude oil, natural gas and NGL production from </w:t>
      </w:r>
      <w:r>
        <w:rPr>
          <w:rFonts w:ascii="Times New Roman" w:cs="Times New Roman" w:eastAsia="Times New Roman" w:hAnsi="Times New Roman"/>
          <w:sz w:val="17"/>
          <w:szCs w:val="17"/>
          <w:color w:val="333333"/>
        </w:rPr>
        <w:t>the Jonah</w:t>
      </w:r>
      <w:r>
        <w:rPr>
          <w:rFonts w:ascii="Times New Roman" w:cs="Times New Roman" w:eastAsia="Times New Roman" w:hAnsi="Times New Roman"/>
          <w:sz w:val="17"/>
          <w:szCs w:val="17"/>
          <w:color w:val="auto"/>
        </w:rPr>
        <w:t xml:space="preserve"> 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 disaggregates the Company’s revenues by major product for the three and six months ended December 31, 2023 and 2022 (in thousands):</w:t>
      </w:r>
    </w:p>
    <w:p>
      <w:pPr>
        <w:spacing w:after="0" w:line="184"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16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Crude oil</w:t>
            </w:r>
          </w:p>
        </w:tc>
        <w:tc>
          <w:tcPr>
            <w:tcW w:w="5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13,100</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28,263</w:t>
            </w:r>
          </w:p>
        </w:tc>
      </w:tr>
      <w:tr>
        <w:trPr>
          <w:trHeight w:val="202"/>
        </w:trPr>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Natural gas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37,218</w:t>
            </w:r>
          </w:p>
        </w:tc>
      </w:tr>
      <w:tr>
        <w:trPr>
          <w:trHeight w:val="203"/>
        </w:trPr>
        <w:tc>
          <w:tcPr>
            <w:tcW w:w="1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Natural gas liquids</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7,992</w:t>
            </w:r>
          </w:p>
        </w:tc>
      </w:tr>
      <w:tr>
        <w:trPr>
          <w:trHeight w:val="196"/>
        </w:trPr>
        <w:tc>
          <w:tcPr>
            <w:tcW w:w="1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41,625</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73,473</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In the Jonah Field, the Company has elected to take its natural gas and NGL working interest production in-kind and markets its NGL production to Enterprise Products Partners L.P. and its natural gas production to different purchasers.</w:t>
      </w:r>
    </w:p>
    <w:p>
      <w:pPr>
        <w:spacing w:after="0" w:line="14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one to two months after delivery.</w:t>
      </w:r>
    </w:p>
    <w:p>
      <w:pPr>
        <w:spacing w:after="0" w:line="185"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color w:val="auto"/>
        </w:rPr>
        <w:t xml:space="preserve">Judgments made in applying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8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Revenue is recorded in the month when contractual performance obligations are satisfied. However, settlement statements from the purchasers of hydrocarbons and the related cash consideration are received by field operators one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 w:cs="Times New Roman" w:eastAsia="Times New Roman" w:hAnsi="Times New Roman"/>
          <w:sz w:val="18"/>
          <w:szCs w:val="18"/>
          <w:i w:val="1"/>
          <w:iCs w:val="1"/>
          <w:color w:val="auto"/>
        </w:rPr>
        <w:t>“Receivables from crude oil, natural gas,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natural gas liquids revenues” </w:t>
      </w:r>
      <w:r>
        <w:rPr>
          <w:rFonts w:ascii="Times New Roman" w:cs="Times New Roman" w:eastAsia="Times New Roman" w:hAnsi="Times New Roman"/>
          <w:sz w:val="18"/>
          <w:szCs w:val="18"/>
          <w:color w:val="auto"/>
        </w:rPr>
        <w:t>on the unaudited condensed consolidated balance sheets.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Differences between estimates and actual amounts received for product sales are recorded in the month that payments received from purchasers are remitted to the Company by field operators.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December 31, 2023 and June 30, 2023 consisted of the following (in thousands):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Oil and natural gas properties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costs subject to amortization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199,526</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197,049</w:t>
            </w:r>
          </w:p>
        </w:tc>
      </w:tr>
      <w:tr>
        <w:trPr>
          <w:trHeight w:val="203"/>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costs not subject to amortization</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Accumulated depletion, depreciation, and impairment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(99,415)</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(91,268)</w:t>
            </w:r>
          </w:p>
        </w:tc>
      </w:tr>
      <w:tr>
        <w:trPr>
          <w:trHeight w:val="196"/>
        </w:trPr>
        <w:tc>
          <w:tcPr>
            <w:tcW w:w="43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105,781</w:t>
            </w: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of December 31, 2023, $3.4 million of oil and natural gas property costs were not subject to amortization. On September 12, 2023, the Company entered into a Participation Agreement with PEDEVCO for the joint development of a portion of PEDEVCO’s Permian Basin property in the Chaveroo Field, located in Chaves and Roosevelt Counties, New Mexico. The Participation Agreement does not include any of PEDEVCO’s existing vertical or horizontal wells.</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Upon signing the Participation Agreement, the Company paid total cash consideration of $0.4 million, which includes less than $0.1 million of capitalized transactions costs, in exchange for a 50% working interest share in the existing leases associated with two initial development blocks, or nine drilling locations. Following completion of the initial nine development wells, the Company will have the right, but not the obligation, to elect to participate and acquire a 50% working interest share in the next development block, for up to a total of approximately 16,000 gross acres for the payment of $450 per acre. The Company allocated all of the acreage costs associated with the initial acreage purchase to unevaluated oil and natural gas properties. As of December 31, 2023, the Company has incurred approximately $3.0 million in capital expenditures related to the drilling and completion of an initial three wells. These capital expenditures are recorded as unevaluated property costs.</w:t>
      </w:r>
    </w:p>
    <w:p>
      <w:pPr>
        <w:spacing w:after="0" w:line="18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spacing w:after="0" w:line="18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Depletion of oil and natural gas properties was $8.1 million and $6.5 million for the six months ended December 31, 2023 and 2022, respectively. During the six months ended December 31, 2023 and 2022, the Company incurred development capital expenditures of $2.4 million and $2.1 million, respectively.</w:t>
      </w:r>
    </w:p>
    <w:p>
      <w:pPr>
        <w:spacing w:after="0" w:line="1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At December 31, 2023, the ceiling test value of the Company’s reserves was calculated based on the first-day-of-the-month average for the 12-months ended December 31, 2023 of the West Texas Intermediate (“WTI”) crude oil spot price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of $78.21 per barrel and Henry Hub natural gas spot price of $2.63 per MMBtu, adjusted by market differentials by field. The net price per barrel of NGLs was $31.57, which was based on historical differentials to WTI as NGLs do not have any single comparable reference index price. Using these prices, at December 31, 2023 the cost center ceiling was higher than the capitalized costs of oil and natural gas properties, and as a result, no write-down was necessary.</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At December 31, 2022, the ceiling test value of the Company’s reserves was calculated based on the first-day-of the month average for the 12-months ended December 31, 2022 of the WTI crude oil spot price of $94.14 per barrel and Henry Hub natural gas spot price of $6.40 per MMBtu, adjusted by market differentials by field. The net price per barrel of NGLs was $48.50, which was based on historical prices received as NGLs do not have any single comparable reference index price. Using these prices, at December 31, 2022 the cost center ceiling was higher than the capitalized costs of oil and natural gas properties, and as a result, no write-down was necessary.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Senior Secured Credit Facility</w:t>
      </w:r>
    </w:p>
    <w:p>
      <w:pPr>
        <w:spacing w:after="0" w:line="22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On April 11, 2016, the Company entered into a three-year,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Secured Overnight Financing Rate (“SOFR”) plus a credit spread adjustment of 0.05% to effectively convert SOFR to a LIBOR equivalent and modifies the Margined Collateral Value, as defined in the Ninth Amendment to the Senior Secured Credit Facility, to $95.0 million.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which includes a 0.05% credit spread adjustment from LIBOR, subject to a minimum SOFR of 0.50%, or the Prime Rate, as defined under the Senior Secured Credit Facility, plus 1.00%.</w:t>
      </w:r>
    </w:p>
    <w:p>
      <w:pPr>
        <w:spacing w:after="0" w:line="197"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18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December 31, 2023, the Company did not have any borrowings outstanding under its Senior Secured Credit Facility, resulting in $50.0 million of available borrowing capacity. As of December 31, 2023, the Company is in compliance with the financial covenants under the Senior Secured Credit Facility.</w:t>
      </w:r>
    </w:p>
    <w:p>
      <w:pPr>
        <w:spacing w:after="0" w:line="18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Secured Credit Facility will be based on the Margined Collateral Value, as defined in the agreement, to the extent it exceeds the borrowing base then in effect.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various combined and separate filings in several state and local jurisdictions.</w:t>
      </w:r>
    </w:p>
    <w:p>
      <w:pPr>
        <w:spacing w:after="0" w:line="162"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2020 through June 30, 2023 for federal tax purposes and for the fiscal years ended June 30, 2019 through June 30, 2023 for state tax purposes. To the extent the Company utilizes net operating losses (“NOLs”) generated in earlier years, such earlier years may also be subject to audit.</w:t>
      </w:r>
    </w:p>
    <w:p>
      <w:pPr>
        <w:spacing w:after="0" w:line="17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For six months ended December 31, 2023, the Company recognized income tax expense of $1.0 million and had an effective tax rate of 28.5% compared to income tax expense of $6.0 million and an effective tax rate of 22.1% for the six months ended December 31, 2022.</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will typically differ from the statutory federal rate as a result of state income taxes, primarily in the states of Louisiana, North Dakota, and Texas, percentage depletion in excess of basis, and other permanent differences. For both periods, the respective statutory federal tax rate was 21%.</w:t>
      </w:r>
    </w:p>
    <w:p>
      <w:pPr>
        <w:spacing w:after="0" w:line="1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Derivatives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Company is exposed to certain risks relating to its ongoing business operations, including commodity price risk and interest rate risk. In accordance with the Company’s strategy and the requirements under the Senior Secured Credit Facility (as discussed in Note 4, </w:t>
      </w:r>
      <w:r>
        <w:rPr>
          <w:rFonts w:ascii="Times New Roman" w:cs="Times New Roman" w:eastAsia="Times New Roman" w:hAnsi="Times New Roman"/>
          <w:sz w:val="18"/>
          <w:szCs w:val="18"/>
          <w:i w:val="1"/>
          <w:iCs w:val="1"/>
          <w:color w:val="auto"/>
        </w:rPr>
        <w:t>“Senior Secured Credit Facility”</w:t>
      </w:r>
      <w:r>
        <w:rPr>
          <w:rFonts w:ascii="Times New Roman" w:cs="Times New Roman" w:eastAsia="Times New Roman" w:hAnsi="Times New Roman"/>
          <w:sz w:val="18"/>
          <w:szCs w:val="18"/>
          <w:color w:val="auto"/>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spacing w:after="0" w:line="192"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It is the Company’s policy to enter into derivative contracts only with counterparties that are creditworthy financial or commodity hedging institutions deemed by management as competent and competitive market makers. As of</w:t>
      </w:r>
    </w:p>
    <w:p>
      <w:pPr>
        <w:jc w:val="both"/>
        <w:ind w:left="60" w:right="159"/>
        <w:spacing w:after="0" w:line="277" w:lineRule="auto"/>
        <w:rPr>
          <w:sz w:val="20"/>
          <w:szCs w:val="20"/>
          <w:color w:val="auto"/>
        </w:rPr>
      </w:pPr>
      <w:r>
        <w:rPr>
          <w:rFonts w:ascii="Times New Roman" w:cs="Times New Roman" w:eastAsia="Times New Roman" w:hAnsi="Times New Roman"/>
          <w:sz w:val="17"/>
          <w:szCs w:val="17"/>
          <w:color w:val="auto"/>
        </w:rPr>
        <w:t>June 30, 2023, all of the Company’s derivative contracts had expired. The Company has no open derivative contracts as of December 31, 2023 or June 30, 2023, and the Company did not post collateral under any of its derivative contracts during the periods in which contracts were open as they were secured under the Company’s Senior Secured Credit Facility.</w:t>
      </w:r>
    </w:p>
    <w:p>
      <w:pPr>
        <w:spacing w:after="0" w:line="16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Company has in the past, and may utilize in the future, commodity derivative contracts such as costless put/call collars and fixed-price swaps to hedge a portion of its anticipated future production. A costless collar consists of a sold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(loss) on derivative contracts</w:t>
      </w:r>
      <w:r>
        <w:rPr>
          <w:rFonts w:ascii="Times New Roman" w:cs="Times New Roman" w:eastAsia="Times New Roman" w:hAnsi="Times New Roman"/>
          <w:sz w:val="18"/>
          <w:szCs w:val="18"/>
          <w:color w:val="auto"/>
        </w:rPr>
        <w:t>” on the unaudited condensed consolidated statements of operations.</w:t>
      </w:r>
    </w:p>
    <w:p>
      <w:pPr>
        <w:spacing w:after="0" w:line="185"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 xml:space="preserve">All derivative contracts are recorded at fair market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The following table summarizes the location and amounts of the Company’s realized and unrealized gains and losses on derivative contracts in the Company’s unaudited condensed consolidated statements of operations for the six months ended December 31, 2023 and 2022 (in thousands). </w:t>
      </w:r>
      <w:r>
        <w:rPr>
          <w:rFonts w:ascii="Times New Roman" w:cs="Times New Roman" w:eastAsia="Times New Roman" w:hAnsi="Times New Roman"/>
          <w:sz w:val="18"/>
          <w:szCs w:val="18"/>
          <w:i w:val="1"/>
          <w:iCs w:val="1"/>
          <w:color w:val="auto"/>
        </w:rPr>
        <w:t>“Realized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gain (loss) on derivative contracts” </w:t>
      </w:r>
      <w:r>
        <w:rPr>
          <w:rFonts w:ascii="Times New Roman" w:cs="Times New Roman" w:eastAsia="Times New Roman" w:hAnsi="Times New Roman"/>
          <w:sz w:val="18"/>
          <w:szCs w:val="18"/>
          <w:color w:val="auto"/>
        </w:rPr>
        <w:t>represents all receipts (payments) on derivative contracts settled during the period.</w:t>
      </w:r>
      <w:r>
        <w:rPr>
          <w:rFonts w:ascii="Times New Roman" w:cs="Times New Roman" w:eastAsia="Times New Roman" w:hAnsi="Times New Roman"/>
          <w:sz w:val="18"/>
          <w:szCs w:val="18"/>
          <w:i w:val="1"/>
          <w:iCs w:val="1"/>
          <w:color w:val="auto"/>
        </w:rPr>
        <w:t xml:space="preserve"> “Unrealized gain (loss) on derivative contracts” </w:t>
      </w:r>
      <w:r>
        <w:rPr>
          <w:rFonts w:ascii="Times New Roman" w:cs="Times New Roman" w:eastAsia="Times New Roman" w:hAnsi="Times New Roman"/>
          <w:sz w:val="18"/>
          <w:szCs w:val="18"/>
          <w:color w:val="auto"/>
        </w:rPr>
        <w:t>represents the net change in the mark-to-market valuation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contracts.</w:t>
      </w:r>
    </w:p>
    <w:p>
      <w:pPr>
        <w:spacing w:after="0" w:line="39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40" w:type="dxa"/>
            <w:vAlign w:val="bottom"/>
          </w:tcPr>
          <w:p>
            <w:pPr>
              <w:spacing w:after="0"/>
              <w:rPr>
                <w:sz w:val="13"/>
                <w:szCs w:val="13"/>
                <w:color w:val="auto"/>
              </w:rPr>
            </w:pPr>
          </w:p>
        </w:tc>
        <w:tc>
          <w:tcPr>
            <w:tcW w:w="1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140" w:type="dxa"/>
            <w:vAlign w:val="bottom"/>
          </w:tcPr>
          <w:p>
            <w:pPr>
              <w:spacing w:after="0"/>
              <w:rPr>
                <w:sz w:val="15"/>
                <w:szCs w:val="15"/>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8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contracts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5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Commodity contracts:</w:t>
            </w:r>
          </w:p>
        </w:tc>
        <w:tc>
          <w:tcPr>
            <w:tcW w:w="1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Other income and</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 on derivative contracts</w:t>
            </w:r>
          </w:p>
        </w:tc>
        <w:tc>
          <w:tcPr>
            <w:tcW w:w="1860" w:type="dxa"/>
            <w:vAlign w:val="bottom"/>
            <w:gridSpan w:val="3"/>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expenses - net gain (loss)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(224)</w:t>
            </w:r>
          </w:p>
        </w:tc>
        <w:tc>
          <w:tcPr>
            <w:tcW w:w="200" w:type="dxa"/>
            <w:vAlign w:val="bottom"/>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CEEFF"/>
          </w:tcPr>
          <w:p>
            <w:pPr>
              <w:spacing w:after="0"/>
              <w:rPr>
                <w:sz w:val="14"/>
                <w:szCs w:val="14"/>
                <w:color w:val="auto"/>
              </w:rPr>
            </w:pPr>
          </w:p>
        </w:tc>
        <w:tc>
          <w:tcPr>
            <w:tcW w:w="1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on derivative contracts</w:t>
            </w: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Unrealized gain (loss) on derivative</w:t>
            </w:r>
          </w:p>
        </w:tc>
        <w:tc>
          <w:tcPr>
            <w:tcW w:w="186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Other income and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8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expenses - net gain (loss)</w:t>
            </w:r>
          </w:p>
        </w:tc>
        <w:tc>
          <w:tcPr>
            <w:tcW w:w="14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contracts</w:t>
            </w: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on derivative contracts</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Fair Value Measurement</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three levels are defined as follows:</w:t>
      </w:r>
    </w:p>
    <w:p>
      <w:pPr>
        <w:spacing w:after="0" w:line="117" w:lineRule="exact"/>
        <w:rPr>
          <w:sz w:val="20"/>
          <w:szCs w:val="20"/>
          <w:color w:val="auto"/>
        </w:rPr>
      </w:pPr>
    </w:p>
    <w:p>
      <w:pPr>
        <w:ind w:left="700" w:right="679"/>
        <w:spacing w:after="0" w:line="282" w:lineRule="auto"/>
        <w:rPr>
          <w:sz w:val="20"/>
          <w:szCs w:val="20"/>
          <w:color w:val="auto"/>
        </w:rPr>
      </w:pPr>
      <w:r>
        <w:rPr>
          <w:rFonts w:ascii="Times New Roman" w:cs="Times New Roman" w:eastAsia="Times New Roman" w:hAnsi="Times New Roman"/>
          <w:sz w:val="18"/>
          <w:szCs w:val="18"/>
          <w:color w:val="auto"/>
        </w:rPr>
        <w:t>Level 1—Observable inputs such as quoted prices in active markets at the measurement date for identical, unrestricted assets or liabilities.</w:t>
      </w:r>
    </w:p>
    <w:p>
      <w:pPr>
        <w:spacing w:after="0" w:line="54" w:lineRule="exact"/>
        <w:rPr>
          <w:sz w:val="20"/>
          <w:szCs w:val="20"/>
          <w:color w:val="auto"/>
        </w:rPr>
      </w:pPr>
    </w:p>
    <w:p>
      <w:pPr>
        <w:ind w:left="700" w:right="379"/>
        <w:spacing w:after="0" w:line="266" w:lineRule="auto"/>
        <w:rPr>
          <w:sz w:val="20"/>
          <w:szCs w:val="20"/>
          <w:color w:val="auto"/>
        </w:rPr>
      </w:pPr>
      <w:r>
        <w:rPr>
          <w:rFonts w:ascii="Times New Roman" w:cs="Times New Roman" w:eastAsia="Times New Roman" w:hAnsi="Times New Roman"/>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68" w:lineRule="exact"/>
        <w:rPr>
          <w:sz w:val="20"/>
          <w:szCs w:val="20"/>
          <w:color w:val="auto"/>
        </w:rPr>
      </w:pPr>
    </w:p>
    <w:p>
      <w:pPr>
        <w:ind w:left="700" w:right="139"/>
        <w:spacing w:after="0" w:line="282" w:lineRule="auto"/>
        <w:rPr>
          <w:sz w:val="20"/>
          <w:szCs w:val="20"/>
          <w:color w:val="auto"/>
        </w:rPr>
      </w:pPr>
      <w:r>
        <w:rPr>
          <w:rFonts w:ascii="Times New Roman" w:cs="Times New Roman" w:eastAsia="Times New Roman" w:hAnsi="Times New Roman"/>
          <w:sz w:val="18"/>
          <w:szCs w:val="18"/>
          <w:color w:val="auto"/>
        </w:rPr>
        <w:t>Level 3—Unobservable inputs for which there are little or no market data and which the Company makes its own assumptions about how market participants would price the assets and liabilities.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 Instruments. </w:t>
      </w:r>
      <w:r>
        <w:rPr>
          <w:rFonts w:ascii="Times New Roman" w:cs="Times New Roman" w:eastAsia="Times New Roman" w:hAnsi="Times New Roman"/>
          <w:sz w:val="18"/>
          <w:szCs w:val="18"/>
          <w:color w:val="auto"/>
        </w:rPr>
        <w:t>The Company’s determination of fair value incorporates not only the credit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19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Company did not have any open positions at December 31, 2023 or June 30, 2023.</w:t>
      </w:r>
    </w:p>
    <w:p>
      <w:pPr>
        <w:spacing w:after="0" w:line="181"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Fair Value Measurements. </w:t>
      </w:r>
      <w:r>
        <w:rPr>
          <w:rFonts w:ascii="Times New Roman" w:cs="Times New Roman" w:eastAsia="Times New Roman" w:hAnsi="Times New Roman"/>
          <w:sz w:val="18"/>
          <w:szCs w:val="18"/>
          <w:color w:val="auto"/>
        </w:rPr>
        <w:t>The following disclosure of the estimated fair value of financial instruments is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requirements of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8,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 reconciliation of the beginning and ending balances of the liability for the Company’s ARO.</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 w:cs="Times New Roman" w:eastAsia="Times New Roman" w:hAnsi="Times New Roman"/>
          <w:sz w:val="18"/>
          <w:szCs w:val="18"/>
          <w:i w:val="1"/>
          <w:iCs w:val="1"/>
          <w:color w:val="auto"/>
        </w:rPr>
        <w:t>“Oil and natural gas properties, subject to amortization, net”</w:t>
      </w:r>
      <w:r>
        <w:rPr>
          <w:rFonts w:ascii="Times New Roman" w:cs="Times New Roman" w:eastAsia="Times New Roman" w:hAnsi="Times New Roman"/>
          <w:sz w:val="18"/>
          <w:szCs w:val="18"/>
          <w:color w:val="auto"/>
        </w:rPr>
        <w:t xml:space="preserve"> during the period in which the obligation is incurred. The Company records the accretion of its ARO liabilities in </w:t>
      </w:r>
      <w:r>
        <w:rPr>
          <w:rFonts w:ascii="Times New Roman" w:cs="Times New Roman" w:eastAsia="Times New Roman" w:hAnsi="Times New Roman"/>
          <w:sz w:val="18"/>
          <w:szCs w:val="18"/>
          <w:i w:val="1"/>
          <w:iCs w:val="1"/>
          <w:color w:val="auto"/>
        </w:rPr>
        <w:t>“Depletion, depreciation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accretion” </w:t>
      </w:r>
      <w:r>
        <w:rPr>
          <w:rFonts w:ascii="Times New Roman" w:cs="Times New Roman" w:eastAsia="Times New Roman" w:hAnsi="Times New Roman"/>
          <w:sz w:val="18"/>
          <w:szCs w:val="18"/>
          <w:color w:val="auto"/>
        </w:rPr>
        <w:t>expense in the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activity related to the Company’s ARO liability (inclusive of the current portion)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 ended December 31, 2023 (in thousands):</w:t>
      </w:r>
    </w:p>
    <w:p>
      <w:pPr>
        <w:spacing w:after="0" w:line="223" w:lineRule="exact"/>
        <w:rPr>
          <w:sz w:val="20"/>
          <w:szCs w:val="20"/>
          <w:color w:val="auto"/>
        </w:rPr>
      </w:pPr>
    </w:p>
    <w:tbl>
      <w:tblPr>
        <w:tblLayout w:type="fixed"/>
        <w:tblInd w:w="1180" w:type="dxa"/>
        <w:tblCellMar>
          <w:top w:w="0" w:type="dxa"/>
          <w:left w:w="0" w:type="dxa"/>
          <w:bottom w:w="0" w:type="dxa"/>
          <w:right w:w="0" w:type="dxa"/>
        </w:tblCellMar>
      </w:tblPr>
      <w:tr>
        <w:trPr>
          <w:trHeight w:val="212"/>
        </w:trPr>
        <w:tc>
          <w:tcPr>
            <w:tcW w:w="43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beginning of period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17,067</w:t>
            </w:r>
          </w:p>
        </w:tc>
      </w:tr>
      <w:tr>
        <w:trPr>
          <w:trHeight w:val="203"/>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Accretion of discount</w:t>
            </w:r>
          </w:p>
        </w:tc>
        <w:tc>
          <w:tcPr>
            <w:tcW w:w="10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19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end of period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w:t>
            </w:r>
          </w:p>
        </w:tc>
      </w:tr>
      <w:tr>
        <w:trPr>
          <w:trHeight w:val="203"/>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current asset retirement obligations</w:t>
            </w:r>
          </w:p>
        </w:tc>
        <w:tc>
          <w:tcPr>
            <w:tcW w:w="10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6"/>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 of asset retirement obligations</w:t>
            </w:r>
          </w:p>
        </w:tc>
        <w:tc>
          <w:tcPr>
            <w:tcW w:w="10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w:t>
            </w:r>
          </w:p>
        </w:tc>
      </w:tr>
      <w:tr>
        <w:trPr>
          <w:trHeight w:val="20"/>
        </w:trPr>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the Company had 33,506,794 shares of common stock outstanding.</w:t>
      </w:r>
    </w:p>
    <w:p>
      <w:pPr>
        <w:spacing w:after="0" w:line="22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 began paying quarterly cash dividends on common stock in December 2013. As of December 31, 2023, the Company has cumulatively paid over $110.4 million in cash dividends. The Company paid dividends of $8.0 million and $8.1 million to its common stockholders during the six months ended December 31, 2023 and 2022, respectively. The following table reflects the dividends paid per share within the respective three-month periods:</w:t>
      </w:r>
    </w:p>
    <w:p>
      <w:pPr>
        <w:spacing w:after="0" w:line="88"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Borders>
              <w:bottom w:val="single" w:sz="8" w:color="auto"/>
            </w:tcBorders>
          </w:tcPr>
          <w:p>
            <w:pPr>
              <w:spacing w:after="0"/>
              <w:rPr>
                <w:sz w:val="18"/>
                <w:szCs w:val="18"/>
                <w:color w:val="auto"/>
              </w:rPr>
            </w:pPr>
          </w:p>
        </w:tc>
      </w:tr>
      <w:tr>
        <w:trPr>
          <w:trHeight w:val="199"/>
        </w:trPr>
        <w:tc>
          <w:tcPr>
            <w:tcW w:w="38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quarter ended December 31,</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 ended September 30,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r>
    </w:tbl>
    <w:p>
      <w:pPr>
        <w:spacing w:after="0" w:line="19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September 8, 2022, the Board of Directors approved a share repurchase program, under which the Company is authorized to repurchase up to $25.0 million of its common stock in the open market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Rule 10b5-1 plan that authorizes a broker to repurchase shares in the open market subject to pre-defined limitations on trading volume and price. The plan is effective until June 30, 2024, unless extended, renewed or terminated by the Company, and has a maximum authorized amount of $0.8 million over that period. The Company may alter the terms of the plan from time to time to the extent it determines changes are necessary to achieve the intended objectives of the repurchase program. No shares were purchased under this plan during the period ended December 31, 2023.</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2023 and 2022, the Company acquired treasury stock upon the ordinary course of scheduled vestings of employee stock-based awards to fund payroll tax withholding obligations. These treasury shares were subsequently cancelled. Such shares were valued at fair market value on the date of vesting.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all treasury stock purchases during the six months ended December 31, 2023 and 2022:</w:t>
      </w:r>
    </w:p>
    <w:p>
      <w:pPr>
        <w:spacing w:after="0" w:line="70"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tcPr>
          <w:p>
            <w:pPr>
              <w:spacing w:after="0"/>
              <w:rPr>
                <w:sz w:val="16"/>
                <w:szCs w:val="16"/>
                <w:color w:val="auto"/>
              </w:rPr>
            </w:pPr>
          </w:p>
        </w:tc>
      </w:tr>
      <w:tr>
        <w:trPr>
          <w:trHeight w:val="185"/>
        </w:trPr>
        <w:tc>
          <w:tcPr>
            <w:tcW w:w="4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r>
      <w:tr>
        <w:trPr>
          <w:trHeight w:val="183"/>
        </w:trPr>
        <w:tc>
          <w:tcPr>
            <w:tcW w:w="4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treasury shares acquired</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29,236</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12,049</w:t>
            </w: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Average cost per share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196"/>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treasury shares acquired</w:t>
            </w: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213,015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86,690</w:t>
            </w:r>
          </w:p>
        </w:tc>
      </w:tr>
      <w:tr>
        <w:trPr>
          <w:trHeight w:val="20"/>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Expected Tax Treatment of Dividends</w:t>
      </w:r>
    </w:p>
    <w:p>
      <w:pPr>
        <w:spacing w:after="0" w:line="12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fiscal year ended June 30, 2023, all common stock dividends for that fiscal year were treated for tax purposes as qualified dividend income to the recipients. Based on its current projections for the fiscal year ended June 30, 2024, the Company expects all common stock dividends for such period to be treated as qualified dividend income to the recipients. Such projections are based on the Company’s reasonable expectations as of December 31, 2023 and are subject to change based on the Company’s final tax calculations at the end of the fiscal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Incentive Plan</w:t>
      </w:r>
    </w:p>
    <w:p>
      <w:pPr>
        <w:spacing w:after="0" w:line="12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December 31, 2023 and June 30, 2023, approximately 0.9 million shares and 1.3 million shares, respectively, remained available for grant under the 2016 Plan.</w:t>
      </w:r>
    </w:p>
    <w:p>
      <w:pPr>
        <w:spacing w:after="0" w:line="192" w:lineRule="exact"/>
        <w:rPr>
          <w:sz w:val="20"/>
          <w:szCs w:val="20"/>
          <w:color w:val="auto"/>
        </w:rPr>
      </w:pPr>
    </w:p>
    <w:p>
      <w:pPr>
        <w:jc w:val="both"/>
        <w:ind w:left="60" w:right="119"/>
        <w:spacing w:after="0" w:line="270" w:lineRule="auto"/>
        <w:rPr>
          <w:sz w:val="20"/>
          <w:szCs w:val="20"/>
          <w:color w:val="auto"/>
        </w:rPr>
      </w:pPr>
      <w:r>
        <w:rPr>
          <w:rFonts w:ascii="Times New Roman" w:cs="Times New Roman" w:eastAsia="Times New Roman" w:hAnsi="Times New Roman"/>
          <w:sz w:val="17"/>
          <w:szCs w:val="17"/>
          <w:color w:val="auto"/>
        </w:rPr>
        <w:t>The Company estimates the fair value of stock-based compensation awards on the grant date to provide the basis for future compensation expense. During the three and six months ended December 31, 2023, the Company recognized $0.6 million and $1.0 million, respectively, related to stock-based compensation. During the three and six months ended December 31, 2022, the Company recognized $0.5 million and $0.7 million, respectively, related to stock-based compensation expense.</w:t>
      </w:r>
    </w:p>
    <w:p>
      <w:pPr>
        <w:spacing w:after="0" w:line="3" w:lineRule="exact"/>
        <w:rPr>
          <w:sz w:val="20"/>
          <w:szCs w:val="20"/>
          <w:color w:val="auto"/>
        </w:rPr>
      </w:pPr>
    </w:p>
    <w:p>
      <w:pPr>
        <w:jc w:val="both"/>
        <w:ind w:left="60" w:right="99"/>
        <w:spacing w:after="0" w:line="260" w:lineRule="auto"/>
        <w:rPr>
          <w:sz w:val="20"/>
          <w:szCs w:val="20"/>
          <w:color w:val="auto"/>
        </w:rPr>
      </w:pPr>
      <w:r>
        <w:rPr>
          <w:rFonts w:ascii="Times New Roman" w:cs="Times New Roman" w:eastAsia="Times New Roman" w:hAnsi="Times New Roman"/>
          <w:sz w:val="18"/>
          <w:szCs w:val="18"/>
          <w:color w:val="auto"/>
        </w:rPr>
        <w:t>Stock-based compensation expense is recorded as a component of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on the unaudited condensed consolidated statements of operations.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Time-Vested Restricted Stock Awards</w:t>
      </w:r>
    </w:p>
    <w:p>
      <w:pPr>
        <w:spacing w:after="0" w:line="121"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Awards and Performance-Based Contingent Stock Units</w:t>
      </w:r>
    </w:p>
    <w:p>
      <w:pPr>
        <w:spacing w:after="0" w:line="12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spacing w:after="0" w:line="19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2023, the Company granted a total of 0.4 million equity awards that included 0.2 million time-vested restricted stock awards, 0.1 million performance-based restricted stock awards, and 0.1 million performance-based contingent stock units.</w:t>
      </w:r>
    </w:p>
    <w:p>
      <w:pPr>
        <w:spacing w:after="0" w:line="1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2022, the Company granted a total of 0.4 million equity awards that included 0.3 million time-vested restricted stock awards, 0.1 million performance-based restricted stock awards, and less than 0.05 million of performance-based contingent stock units.</w:t>
      </w:r>
    </w:p>
    <w:p>
      <w:pPr>
        <w:spacing w:after="0" w:line="1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For performance-based awards granted during the six months ended December 31, 2023 and 2022, the assumptions used in the Monte Carlo simulation valuations were as follows:</w:t>
      </w:r>
    </w:p>
    <w:p>
      <w:pPr>
        <w:spacing w:after="0" w:line="7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4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4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69"/>
        </w:trPr>
        <w:tc>
          <w:tcPr>
            <w:tcW w:w="42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Weighted average fair value of performance-based awards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 to 4.44%</w:t>
            </w: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 to 2.78</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 to 70.9%</w:t>
            </w: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restricted stock awards as of December 31, 2023 consisted of the following:</w:t>
      </w:r>
    </w:p>
    <w:p>
      <w:pPr>
        <w:spacing w:after="0" w:line="27" w:lineRule="exact"/>
        <w:rPr>
          <w:sz w:val="20"/>
          <w:szCs w:val="20"/>
          <w:color w:val="auto"/>
        </w:rPr>
      </w:pPr>
    </w:p>
    <w:tbl>
      <w:tblPr>
        <w:tblLayout w:type="fixed"/>
        <w:tblInd w:w="120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2"/>
        </w:trPr>
        <w:tc>
          <w:tcPr>
            <w:tcW w:w="458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Award Type</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02"/>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awards</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439,603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03"/>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Performance-based awards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278,688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196"/>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718,291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restricted stock award transactions for the six months ended December 31, 2023:</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06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306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4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306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595,414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Time-vested shares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Performance-based shares granted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(165,630)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 sets forth contingent restricted stock unit transactions for the six months ended December 31, 2023:</w:t>
      </w:r>
    </w:p>
    <w:p>
      <w:pPr>
        <w:spacing w:after="0" w:line="39" w:lineRule="exact"/>
        <w:rPr>
          <w:sz w:val="20"/>
          <w:szCs w:val="20"/>
          <w:color w:val="auto"/>
        </w:rPr>
      </w:pPr>
    </w:p>
    <w:tbl>
      <w:tblPr>
        <w:tblLayout w:type="fixed"/>
        <w:tblInd w:w="700" w:type="dxa"/>
        <w:tblCellMar>
          <w:top w:w="0" w:type="dxa"/>
          <w:left w:w="0" w:type="dxa"/>
          <w:bottom w:w="0" w:type="dxa"/>
          <w:right w:w="0" w:type="dxa"/>
        </w:tblCellMar>
      </w:tblPr>
      <w:tr>
        <w:trPr>
          <w:trHeight w:val="200"/>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9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2"/>
        </w:trPr>
        <w:tc>
          <w:tcPr>
            <w:tcW w:w="29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2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2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Performance-based awards granted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102,239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196"/>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2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Earnings (Loss) per Common Share</w:t>
      </w:r>
    </w:p>
    <w:p>
      <w:pPr>
        <w:spacing w:after="0" w:line="229"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reflecting the application of the two-class method (in thousands, except per share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7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74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49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1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21,094</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unvested restricted stock</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for earnings per share calculation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20,820</w:t>
            </w:r>
          </w:p>
        </w:tc>
        <w:tc>
          <w:tcPr>
            <w:tcW w:w="0" w:type="dxa"/>
            <w:vAlign w:val="bottom"/>
          </w:tcPr>
          <w:p>
            <w:pPr>
              <w:spacing w:after="0"/>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33,154</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Unvested contingent restricted stock units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9"/>
        </w:trPr>
        <w:tc>
          <w:tcPr>
            <w:tcW w:w="4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 average number of common shares and dilutive potential</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33,356</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used in diluted earnings per share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0.2 million and 0.1 million for the three and six months ended December 31, 2023, respectively, were not included in the computation of diluted earnings per common share because the effect would have been anti-dilutive.</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90,000 and 49,000 for the three and six months ended December 31, 2022, respectively, were not included in the computation of diluted earnings per common share because the effect would have been anti-dilutive.</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Additional Financial Statement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amounts on the unaudited condensed consolidated balance sheets are comprised of the following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federal and state income taxes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Carryback of EOR tax credit</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other</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under operating lease</w:t>
            </w: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3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183"/>
        </w:trPr>
        <w:tc>
          <w:tcPr>
            <w:tcW w:w="5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 and other:</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incentive and other compensation</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royalties payable</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 other than federal and state income tax</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severance</w:t>
            </w:r>
          </w:p>
        </w:tc>
        <w:tc>
          <w:tcPr>
            <w:tcW w:w="120" w:type="dxa"/>
            <w:vAlign w:val="bottom"/>
          </w:tcPr>
          <w:p>
            <w:pPr>
              <w:spacing w:after="0"/>
              <w:rPr>
                <w:sz w:val="17"/>
                <w:szCs w:val="17"/>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 due within one year</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 other</w:t>
            </w: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 and other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6,027</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right="979"/>
        <w:spacing w:after="0" w:line="282" w:lineRule="auto"/>
        <w:rPr>
          <w:sz w:val="20"/>
          <w:szCs w:val="20"/>
          <w:color w:val="auto"/>
        </w:rPr>
      </w:pPr>
      <w:r>
        <w:rPr>
          <w:rFonts w:ascii="Times New Roman" w:cs="Times New Roman" w:eastAsia="Times New Roman" w:hAnsi="Times New Roman"/>
          <w:sz w:val="18"/>
          <w:szCs w:val="18"/>
          <w:color w:val="auto"/>
        </w:rPr>
        <w:t>On February 5, 2024, the Company declared a quarterly cash dividend of $0.120 per share of common stock to shareholders of record on March 15, 2024 and payable on March 28,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January 30, 2024, the Company entered into new derivative contracts covering 40,775 barrels of its crude oil comprised of put positions at $75.00 per barrel and fixed-price swap positions at $73.41 per barrel over the effective period of February 2024 through June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SCOOP/STACK Acquisitions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On January 5, 2024, the Company entered into separate Purchase and Sale Agreements (“PSAs”) with Red Sky Resources III, LLC, Red Sky Resources IV, LLC, and Coriolis Energy Partners I, LLC. Pursuant to the PSAs, the Company will acquire non-operating working interests in oil and natural gas properties in the SCOOP and STACK plays in central Oklahoma for a combined purchase price of approximately $43.5 million in cash. Contemporaneous with the execution of the PSAs, the Company paid deposits totaling $3.26 million. The Company expects to fund the balance of the consideration to be paid in the transactions with a combination of cash on hand and borrowings under its senior secured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ind w:left="60" w:right="219"/>
        <w:spacing w:after="0" w:line="261" w:lineRule="auto"/>
        <w:rPr>
          <w:sz w:val="20"/>
          <w:szCs w:val="20"/>
          <w:color w:val="auto"/>
        </w:rPr>
      </w:pPr>
      <w:r>
        <w:rPr>
          <w:rFonts w:ascii="Times New Roman" w:cs="Times New Roman" w:eastAsia="Times New Roman" w:hAnsi="Times New Roman"/>
          <w:sz w:val="18"/>
          <w:szCs w:val="18"/>
          <w:color w:val="auto"/>
        </w:rPr>
        <w:t>The acquired assets consist of an average working interest of approximately 3% net to Evolution, in 231 producing wells and as of the effective date, 21 gross drilled and uncompleted wells to be funded through completion by the sellers, in the SCOOP and STACK plays of the Anadarko Basin in Blaine, Canadian, Carter, Custer, Dewey, Garvin, Grady, Kingfisher, McClain, and Stephens counties, Oklahoma.</w:t>
      </w:r>
    </w:p>
    <w:p>
      <w:pPr>
        <w:spacing w:after="0" w:line="180"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The effective date of these acquisitions is November 1, 2023 and each transaction is expected to close in mid-February during the third quarter of fiscal 2024. The PSAs governing each transaction contain customary representations and warranties, covenants, indemnification, closing conditions and termination provisions and also provide for various purchase price adjustments, including adjusting the purchase price for the net cash flows of the properties between the effective date and closing date of the acquisition, to be calculated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Executive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35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475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899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294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Commonly Used Terms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“Current quarter” refers to the three months ended December 31, 2023, our first quarter of fiscal year 2024.</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“Year-ago quarter” refers to the three months ended December 31, 2022, our first quarter of fiscal year 2023.</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3"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 xml:space="preserve">Our oil and natural gas properties consist of non-operated </w:t>
      </w:r>
      <w:r>
        <w:rPr>
          <w:rFonts w:ascii="Times New Roman" w:cs="Times New Roman" w:eastAsia="Times New Roman" w:hAnsi="Times New Roman"/>
          <w:sz w:val="18"/>
          <w:szCs w:val="18"/>
          <w:color w:val="333333"/>
        </w:rPr>
        <w:t>interests in the following areas: the Jonah</w:t>
      </w:r>
      <w:r>
        <w:rPr>
          <w:rFonts w:ascii="Times New Roman" w:cs="Times New Roman" w:eastAsia="Times New Roman" w:hAnsi="Times New Roman"/>
          <w:sz w:val="18"/>
          <w:szCs w:val="18"/>
          <w:color w:val="auto"/>
        </w:rPr>
        <w:t xml:space="preserve"> Field in Sublette County, Wyoming; the Williston Basin in North Dakota; the Barnett Shale located in North Texas; the Hamilton Dome Field located in Hot Springs County, Wyoming; the Delhi Holt-Bryant Unit in the Delhi Field in Northeast Louisiana; the Chaveroo oilfield in Chaves and Roosevelt Counties of New Mexico; as well as small overriding royalty interests in four onshore central Texas wells.</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non-operated interests in the Jonah Field, a natural gas and NGL producing field in Sublette County, Wyoming, consist of approximately 20% average net working interest and approximately 15% average net revenue interest located on approximately 950 net acres. The properties are operated by Jonah Energy, an established operator in the geographic region.</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non-operated interests in the Williston Basin, an oil and natural gas producing property, consist of approximately 39% average net working interest and approximately 33% average net revenue interest located on approximately 43,300 net acres (approximately 92% held by production) across Billings, Golden Valley, and McKenzie Counties in North Dakota. The properties are operated by Foundation Energy Management, an established operator in the geographic region.</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Barnett Shale, a natural gas and NGL producing shale reservoir, consist of approximately 17% average net working interest and approximately 14% average net revenue interest (inclusive of small overriding royalty interests). The approximately 21,000 net acres are held by production across nine North Texas counties. The oil and natural gas properties are primarily operated by Diversified Energy Company with approximately 10% of wells operated by six other operators.</w:t>
      </w:r>
    </w:p>
    <w:p>
      <w:pPr>
        <w:spacing w:after="0" w:line="183"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majority of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remaining working interest in the Hamilton Dome Field. The Hamilton Dome Field is located in the southwest region of the Big Horn Basin in northwest Wyoming.</w:t>
      </w:r>
    </w:p>
    <w:p>
      <w:pPr>
        <w:spacing w:after="0" w:line="68" w:lineRule="exact"/>
        <w:rPr>
          <w:sz w:val="20"/>
          <w:szCs w:val="20"/>
          <w:color w:val="auto"/>
        </w:rPr>
      </w:pPr>
    </w:p>
    <w:p>
      <w:pPr>
        <w:jc w:val="both"/>
        <w:ind w:left="60" w:right="119"/>
        <w:spacing w:after="0" w:line="260" w:lineRule="auto"/>
        <w:rPr>
          <w:sz w:val="20"/>
          <w:szCs w:val="20"/>
          <w:color w:val="auto"/>
        </w:rPr>
      </w:pPr>
      <w:r>
        <w:rPr>
          <w:rFonts w:ascii="Times New Roman" w:cs="Times New Roman" w:eastAsia="Times New Roman" w:hAnsi="Times New Roman"/>
          <w:sz w:val="18"/>
          <w:szCs w:val="18"/>
          <w:color w:val="auto"/>
        </w:rPr>
        <w:t>Our non-operated interests in the Delhi Field, a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-EOR project producing oil and NGLs,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The Delhi Field is located in northeast Louisiana in Franklin, Madison, and Richland Parishes and encompasses approximately 14,000 gross unitized acres, or approximately 3,200 net acres.</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Our non-operated interests in the Chaveroo oilfield consist of a 50% net working interest, with an associated 41% revenue interest, in approximately 1,625 gross undeveloped acres associated with nine initial development locations with the right to acquire the same working interest in additional development locations and associated acreage at a fixed price. The field is operated by PEDEVCO Corp. (“PEDEVCO”). See </w:t>
      </w:r>
      <w:r>
        <w:rPr>
          <w:rFonts w:ascii="Times New Roman" w:cs="Times New Roman" w:eastAsia="Times New Roman" w:hAnsi="Times New Roman"/>
          <w:sz w:val="18"/>
          <w:szCs w:val="18"/>
          <w:i w:val="1"/>
          <w:iCs w:val="1"/>
          <w:color w:val="auto"/>
        </w:rPr>
        <w:t>“Chaveroo Oilfield Participation Agreement”</w:t>
      </w:r>
      <w:r>
        <w:rPr>
          <w:rFonts w:ascii="Times New Roman" w:cs="Times New Roman" w:eastAsia="Times New Roman" w:hAnsi="Times New Roman"/>
          <w:sz w:val="18"/>
          <w:szCs w:val="18"/>
          <w:color w:val="auto"/>
        </w:rPr>
        <w:t xml:space="preserve"> below for further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SCOOP/STACK Acquisitions</w:t>
      </w:r>
    </w:p>
    <w:p>
      <w:pPr>
        <w:spacing w:after="0" w:line="229"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On January 5, 2024, we entered into separate Purchase and Sale Agreements (“PSAs”) with Red Sky Resources III, LLC, Red Sky Resources IV, LLC, and Coriolis Energy Partners I, LLC. Pursuant to the PSAs, we will acquire non-operating working interests in oil and natural gas properties in the SCOOP and STACK plays in central Oklahoma for a combined purchase price of approximately $43.5 million in cash (“the SCOOP/STACK Acquisitions”). Contemporaneous with the execution of the PSAs, we paid deposits totaling $3.26 million. We expect to fund the balance of the consideration to be paid in the transactions with a combination of cash on hand and borrowings under our senior secured credit facility.</w:t>
      </w:r>
    </w:p>
    <w:p>
      <w:pPr>
        <w:spacing w:after="0" w:line="24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acquired assets consist of an average working interest of approximately 3% net to us, in 231 producing wells and as of the effective date, 21 gross drilled and uncompleted wells to be funded through completion by the sellers, in the SCOOP and STACK plays of the Anadarko Basin in Blaine, Canadian, Carter, Custer, Dewey, Garvin, Grady, Kingfisher, McClain, and Stephens counties, Oklahoma. The acquisitions also include approximately 3,700 net acres with more than 300 associated potential drilling opportunities.</w:t>
      </w:r>
    </w:p>
    <w:p>
      <w:pPr>
        <w:spacing w:after="0" w:line="183"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The effective date of these acquisitions is November 1, 2023 and each transaction is expected to close in mid-February during the third quarter of fiscal 2024. The PSAs governing each transaction contain customary representations and warranties, covenants, indemnification, closing conditions and termination provisions and also provide for various purchase price adjustments, including adjusting the purchase price for the net cash flows of the properties between the effective date and closing date of the acquisition, to be calculated as of the closing date.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Accounting Officer</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18, 2023, we announced that the Board of Directors approved the appointment of Kelly M. Beatty as Chief Accounting Officer, effective January 1, 2024. Ms. Beatty has been serving as Principal Accounting Officer since December 2022 and has served as the Company’s Controller since February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2023, we entered into a Rule 10b5-1 plan that authorizes a broker to repurchase shares in the open market subject to pre-defined limitations on trading volume and price. The plan is effective until June 30, 2024, unless extended, renewed or terminated, and has a maximum authorized amount of $0.8 million over that period. We may alter the terms of the plan from time to time to the extent we determine changes are necessary to achieve the intended objectives of our repurchase program. No shares were repurchased under this program during the period ended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Chaveroo Oilfield Participation Agreement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12, 2023, we entered into a participation agreement (the “Participation Agreement”) with PEDEVCO for the joint development of the Chaveroo oilfield, a conventional oil-bearing San Andres field located in Chaves and Roosevelt Counties, New Mexico (the “Chaveroo Field”).</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Pursuant to the Participation Agreement, we have the right, but not the obligation, to elect to participate in drilling locations on approximately 16,000 gross leasehold acres consisting of all leasehold rights from surface to the base of the San Andres formation, where PEDEVCO currently holds leasehold interest. We have agreed to pay PEDEVCO $450 per acre to acquire a 50% working interest share in the leases associated with the locations that we choose to participate in. We have entered into a standard operating agreement with PEDEVCO serving as the operator with respect to the development of the properties. The Participation Agreement includes customary representations and warranties of the parties and other terms and conditions that are standard in such participation agreements.</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2023, we paid total cash consideration of $0.4 million, which includes less than $0.1 million of capitalized transaction costs, in exchange for a 50% working interest share in 1,625 gross undeveloped leasehold acres associated with two initial development blocks, comprised of nine development well locations. Following the completion of the initial nine development wells, we will have the right, but not the obligation, to elect to participate in the next development block. The Participation Agreement initially includes up to 80 gross drilling locations across twelve development blocks. Refer to Capital Expenditures below for a further discussion of Chaveroo drilling and completion activities since entering into the Participation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global economy was deeply impacted by the effects of the novel coronavirus (“COVID-19”) pandemic and related efforts to mitigate the spread of the disease. These events led to crude oil prices falling to historic lows during the second quarter of 2020 and remaining depressed through much of 2020. Beginning in 2021, the demand for oil and natural gas started to recover primarily as a result of the roll-out of the COVID-19 vaccine and lessening of pandemic related government restrictions on individuals and businesses.</w:t>
      </w:r>
    </w:p>
    <w:p>
      <w:pPr>
        <w:spacing w:after="0" w:line="18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 addition, the conflict in the Middle East, the military activities of Russia into Ukraine and the subsequent sanctions imposed on Russia and other actions have created significant market uncertainties, including uncertainties around potential supply disruptions for oil and natural gas, which have further enhanced volatility in global commodity prices.</w:t>
      </w:r>
    </w:p>
    <w:p>
      <w:pPr>
        <w:spacing w:after="0" w:line="1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w:t>
      </w:r>
    </w:p>
    <w:p>
      <w:pPr>
        <w:spacing w:after="0" w:line="18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Federal Reserve has taken actions to raise interest rates in an attempt to tame inflation and slow the economy, which has contributed to volatility in markets.</w:t>
      </w:r>
    </w:p>
    <w:p>
      <w:pPr>
        <w:spacing w:after="0" w:line="16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Given the dynamic nature of these events, we cannot reasonably estimate the period of time that these market conditions will persist; predict the broader impact of liquidity concerns around financial institutions; the impact to long-term cost of capital or economic growth as a result of the Federal Reserve’s policies; or the impact on the commodity prices that we realize.</w:t>
      </w:r>
    </w:p>
    <w:p>
      <w:pPr>
        <w:spacing w:after="0" w:line="180"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 as necessary.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2023 and June 30, 2023, we had no borrowings outstanding on our Senior Secured Credit Facility. As of December 31, 2023, we had $8.5 million in cash and cash equivalents compared to $11.0 million in cash and cash equivalents at June 30, 2023. Our primary sources of liquidity and capital resources during the six months ended December 31, 2023 were cash provided by operations and the unused portion of our Senior Secured Credit Facility. Our primary uses of liquidity and capital resources for the three months ended December 31, 2023 were cash dividend payments to our common stockholders, capital expenditures on our existing oil and natural gas properties, and initial cash consideration paid for unevaluated oil and natural gas properties under our Participation Agreement with PEDEVCO. As of December 31, 2023, working capital was $6.6 million, a decrease of $2.3 million from working capital of $8.9 million as of June 30, 2023.</w:t>
      </w:r>
    </w:p>
    <w:p>
      <w:pPr>
        <w:spacing w:after="0" w:line="188"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The Senior Secured Credit Facility is secured by substantially all of our oil and natural gas properties and matures on April 9, 2026.</w:t>
      </w:r>
    </w:p>
    <w:p>
      <w:pPr>
        <w:spacing w:after="0" w:line="180" w:lineRule="exact"/>
        <w:rPr>
          <w:sz w:val="20"/>
          <w:szCs w:val="20"/>
          <w:color w:val="auto"/>
        </w:rPr>
      </w:pPr>
    </w:p>
    <w:p>
      <w:pPr>
        <w:ind w:left="60" w:right="199"/>
        <w:spacing w:after="0" w:line="270" w:lineRule="auto"/>
        <w:rPr>
          <w:sz w:val="20"/>
          <w:szCs w:val="20"/>
          <w:color w:val="auto"/>
        </w:rPr>
      </w:pPr>
      <w:r>
        <w:rPr>
          <w:rFonts w:ascii="Times New Roman" w:cs="Times New Roman" w:eastAsia="Times New Roman" w:hAnsi="Times New Roman"/>
          <w:sz w:val="17"/>
          <w:szCs w:val="17"/>
          <w:color w:val="auto"/>
        </w:rPr>
        <w:t>Borrowings bear interest, at our option, at either the SOFR plus 2.80% or the Prime Rate, as defined under the Senior Secured Credit Facility, plus 1.0%. During the six months ended December 31, 2023, we did not have any borrowings outstanding under our Senior Secured Credit Facility. The Senior Secured Credit Facility contains covenants requiring the maintenance of (i) a total leverage ratio of not more than 3.00 to 1.00, (ii) a current ratio of not less than 1.00 to 1.00, and</w:t>
      </w:r>
    </w:p>
    <w:p>
      <w:pPr>
        <w:spacing w:after="0" w:line="3" w:lineRule="exact"/>
        <w:rPr>
          <w:sz w:val="20"/>
          <w:szCs w:val="20"/>
          <w:color w:val="auto"/>
        </w:rPr>
      </w:pPr>
    </w:p>
    <w:p>
      <w:pPr>
        <w:ind w:left="60" w:right="199" w:hanging="10"/>
        <w:spacing w:after="0" w:line="253"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tangible net worth of not less than $40.0 million, each as defined in the Senior Secured Credit Facility. It also contains other customary affirmative and negative covenants, including a hedging covenant discussed below, and events of default. As of December 31, 2023, we were in compliance with all covenants under the Senior Secured Credit Facility.</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May 5, 2023, we entered into the Tenth Amendment to the Senior Secured Credit Facility. This amendment, among other things, extended the maturity of our Senior Secured Credit Facility to April 9, 2026, converted our benchmark interest rate from LIBOR to SOFR plus a credit spread adjustment of 0.05%, and modified the Margined Collateral Value, as defined in the Ninth Amendment to the Senior Secured Credit Facility, to $95.0 million. We are required to enter into hedges on a rolling 12-month basis when the borrowings under the Senior Secured Credit Facility exceed 25% of the Margined Collateral Value. The required amount of hedged oil and natural gas production is related to the amount of borrowings outstanding. At each redetermination, our Margined Collateral Value takes into account the estimated value of our oil and natural gas properties, proved developed reserves, total indebtedness, and other relevant factors consistent with customary oil and natural gas lending criteria. We expect to be subject to these hedge requirements upon the closing of our pending SCOOP/STACK Acquisitions.</w:t>
      </w:r>
    </w:p>
    <w:p>
      <w:pPr>
        <w:spacing w:after="0" w:line="19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historically funded operations through cash from operations and working capital and utilized our credit facility for property acquisitions. Our primary source of cash from operations is the sale of produced crude oil, natural gas, and NGLs. A portion of these cash flows is used to fund capital expenditures and pay cash dividends to shareholders. We expect to fund near-future capital expenditures with cash flows from operating activities and existing working capital, and as needed from borrowings under our Senior Secured Credit Facility.</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are pursuing new growth opportunities through acquisitions and other transactions. In addition to cash on hand, we have access to the undrawn portion of the borrowing base available under our Senior Secured Credit Facility, totaling $50.0 million as of December 31, 2023. We also have an effective shelf registration statement with the SEC under which we may issue up to $500.0 million of new debt or equity securities.</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Board of Directors instituted a cash dividend on common stock in December 2013. We have since paid 41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February 5, 2024, the Board of Directors declared a quarterly cash dividend of $0.12 per share of common stock to shareholders of record on March 15, 2024 and payable on March 28,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On September 8, 2022, our Board of Directors approved a share repurchase program, under which we are authorized to repurchase up to $25.0 million of our common stock in the open market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a complimentary option to the existing dividend policy and investment opportunities, and is a tax efficient means to further improve shareholder return.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2023, we entered into a Rule 10b5-1 plan that authorizes a broker to repurchase shares in the open market subject to pre-defined limitations on trading volume and price. The plan is effective until June 30, 2024, unless extended, renewed or terminated, and has a maximum authorized amount of $0.8 million over that period. We may alter the terms of the plan from time to time to the extent we determine changes are necessary to achieve the intended objectives of our repurchase program.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During the six months ended December 31, 2023, we incurred $5.7 million in capital expenditures. During the current quarter, we participated in the drilling and completion of the initial three wells in the Chaveroo Field. During the first fiscal quarter, we participated in the drilling and completion of two new wells in the Delhi Field. First production at Chaveroo Field is expected in February 2024. Production of the Delhi wells came online in the first fiscal quarter of 2024 and produced consistently in the second fiscal quarter.</w:t>
      </w:r>
    </w:p>
    <w:p>
      <w:pPr>
        <w:spacing w:after="0" w:line="18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Based on discussions with our operators, we expect capital workover projects to continue in all the fields. Overall, for fiscal year 2024, we expect budgeted capital expenditures to be in the range of $10.0 million to $14.0 million, which excludes any potential acquisitions. Our expected capital expenditures for fiscal year 2024 include the two new drilled wells at Delhi Field and three wells at Chaveroo Field, both of which are discussed above. We also expect to start incurring capital expenditures, in the fourth quarter at Chaveroo Field, for the second development block consisting of six horizontal wells. As mentioned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the Company has entered into three separate definitive agreements to purchase oil and natural gas properties in the SCOOP/STACK plays in central Oklahoma for a combined purchase price of $43.5 million, before customary closing adjustments. Our budgeted capital expenditures discussed above do not include any potential capital projects associated with properties in the SCOOP/STACK Acquisitions.</w:t>
      </w:r>
    </w:p>
    <w:p>
      <w:pPr>
        <w:spacing w:after="0" w:line="18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Funding for our anticipated capital expenditures over the near-term is expected to be met from cash flows from operations and current working capital and, as needed, from borrowings under our Senior Secured Credit Facility.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Full Cost Pool Ceiling Test</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December 31, 2023 were $78.21 per barrel of oil, $2.63 per MMBtu of natural gas and $31.57 per barrel of NGLs. As of December 31, 2023, our capitalized costs of oil and natural gas properties were below the full cost valuation ceiling. If commodity price levels were to substantially decline from the 12-month average first day of the month pricing levels as of December 31, 2023 and remain down for a prolonged period of time, our valuation ceiling over our capitalized costs may be reduced and adversely impact our ceiling tests in future quarters. We cannot give assurance that a write-down of capitalized oil and natural gas properties will not be required in the future. Additionally, a 10% reduction in respective commodity prices at December 31, 2023, while all other factors remained constant, would not have generated an impairment.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 of Cash Flow Activities</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35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02"/>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21,175</w:t>
            </w:r>
          </w:p>
        </w:tc>
      </w:tr>
      <w:tr>
        <w:trPr>
          <w:trHeight w:val="19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Cash provided by operating activities for the six months ended December 31, 2023 decreased $16.4 million compared to the six months ended December 31, 2022 primarily due to a decrease in revenues. Total revenues decreased $31.8 million as compared to the prior year period primarily due to lower commodity prices coupled with lower sales volumes. Our average realized price per barrel of oil equivalent (“BOE”) decreased $18.37, or 34.1% from the prior year period. Refer to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below for further information.</w:t>
      </w:r>
    </w:p>
    <w:p>
      <w:pPr>
        <w:spacing w:after="0" w:line="183"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December 31, 2023 increased $2.8 million compared to the six months ended December 31, 2022 due to an increase in capital expenditures related to the drilling and completion of three new wells in the Chaveroo Field during the current quarter.</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Net cash flows used in financing activities for the six months ended December 31, 2023 decreased $21.2 million from the six months ended December 31, 2022. In the prior year period, we had repayments totaling $21.3 million of borrowings outstanding under our Senior Secured Credit Facility. For the six months ended December 31, 2023 and 2022, cash dividends paid to our common stockholders were $8.0 million and $8.1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December 31, 2023 and 2022</w:t>
      </w:r>
    </w:p>
    <w:p>
      <w:pPr>
        <w:spacing w:after="0" w:line="229" w:lineRule="exact"/>
        <w:rPr>
          <w:sz w:val="20"/>
          <w:szCs w:val="20"/>
          <w:color w:val="auto"/>
        </w:rPr>
      </w:pPr>
    </w:p>
    <w:p>
      <w:pPr>
        <w:ind w:left="60" w:right="619"/>
        <w:spacing w:after="0" w:line="312" w:lineRule="auto"/>
        <w:rPr>
          <w:sz w:val="20"/>
          <w:szCs w:val="20"/>
          <w:color w:val="auto"/>
        </w:rPr>
      </w:pPr>
      <w:r>
        <w:rPr>
          <w:rFonts w:ascii="Times New Roman" w:cs="Times New Roman" w:eastAsia="Times New Roman" w:hAnsi="Times New Roman"/>
          <w:sz w:val="17"/>
          <w:szCs w:val="17"/>
          <w:color w:val="auto"/>
        </w:rPr>
        <w:t>We reported net income of $1.1 million and $10.4 million for the three months ended December 31, 2023 and 2022, respectively. The following table summarizes the comparison of financial information for the periods presented:</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10,387</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(9,305)</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(89.6)</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(1,341)</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(10,839)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21,024</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33,676</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(12,652)</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(37.6)</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1,385.7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(2,933)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78.92</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9"/>
        </w:trPr>
        <w:tc>
          <w:tcPr>
            <w:tcW w:w="4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20" w:type="dxa"/>
            <w:vAlign w:val="bottom"/>
          </w:tcPr>
          <w:p>
            <w:pPr>
              <w:spacing w:after="0"/>
              <w:rPr>
                <w:sz w:val="16"/>
                <w:szCs w:val="16"/>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(0.95)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Crude oil, natural gas and NGL revenues were $21.0 million and $33.7 million for the three months ended December 31, 2023 and 2022, respectively. The decrease in revenues is primarily due to the decrease in our average realized price per BOE coupled with a decrease in our sales volumes. Our average realized commodity price (excluding the impact of derivative contracts) for the three months ended December 31, 2023 decreased approximately $14.24 per BOE, or 28.2%, compared to the prior year period. 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54.4% from the prior year period, driving the largest decrease in revenues. This was partially attributed to the prior year period benefit of strong natural gas price differentials received at the Jonah Field where we realized an average natural gas price of $11.00 per MCF in the prior year period compared to $4.87 in the current year quarter. Average daily equivalent production decreased 13.0% from 7,250 BOEPD in the prior year period to 6,304 BOEPD in the current period. We began experiencing production declines and downtime in April 2023 at Barnett Shale. Production declines were primarily related to compression issues due to excessive heat, downtime in the gathering and processing system, pipeline rerouting and optimization, and our operator’s decision to temporarily shut-in certain low margin wells. As of December 31, 2023, the midstream issues have been moderated, but due to low natural gas prices the shut-in wells remain offline which has continued to impact production volumes.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Ad valorem and production taxes were $1.3 million and $2.1 million for the three months ended December 31, 2023 and 2022, respectively. On a per unit basis, ad valorem and production taxes were $2.19 per BOE and $3.14 per BOE for the three months ended December 31, 2023 and 2022, respectively. The decrease in ad valorem and production taxes is primarily due to decreases in oil and natural gas prices as well as decreased production volumes described above as production taxes are based on sales at the wellhead.</w:t>
      </w:r>
    </w:p>
    <w:p>
      <w:pPr>
        <w:spacing w:after="0" w:line="90" w:lineRule="exact"/>
        <w:rPr>
          <w:sz w:val="20"/>
          <w:szCs w:val="20"/>
          <w:color w:val="auto"/>
        </w:rPr>
      </w:pPr>
    </w:p>
    <w:p>
      <w:pPr>
        <w:ind w:left="60" w:right="219"/>
        <w:spacing w:after="0" w:line="248" w:lineRule="auto"/>
        <w:rPr>
          <w:sz w:val="20"/>
          <w:szCs w:val="20"/>
          <w:color w:val="auto"/>
        </w:rPr>
      </w:pPr>
      <w:r>
        <w:rPr>
          <w:rFonts w:ascii="Times New Roman" w:cs="Times New Roman" w:eastAsia="Times New Roman" w:hAnsi="Times New Roman"/>
          <w:sz w:val="17"/>
          <w:szCs w:val="17"/>
          <w:color w:val="auto"/>
        </w:rPr>
        <w:t>The following table summarizes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costs per Mcf and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volumes for the three months ended December 31, 2023 and 2022.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purchase costs are for the Delhi Field. Under our contract with the Delhi Field operator, purchased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is priced at 1% of the realized oil price in the field per MCF, plus sales taxes and transportation costs as per contract terms.</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840" w:type="dxa"/>
        <w:tblCellMar>
          <w:top w:w="0" w:type="dxa"/>
          <w:left w:w="0" w:type="dxa"/>
          <w:bottom w:w="0" w:type="dxa"/>
          <w:right w:w="0" w:type="dxa"/>
        </w:tblCellMar>
      </w:tblPr>
      <w:tr>
        <w:trPr>
          <w:trHeight w:val="202"/>
        </w:trPr>
        <w:tc>
          <w:tcPr>
            <w:tcW w:w="27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69"/>
        </w:trPr>
        <w:tc>
          <w:tcPr>
            <w:tcW w:w="27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 per MCF</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85"/>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volumes (MMCF per day, gross)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r>
    </w:tbl>
    <w:p>
      <w:pPr>
        <w:spacing w:after="0" w:line="8" w:lineRule="exact"/>
        <w:rPr>
          <w:sz w:val="20"/>
          <w:szCs w:val="20"/>
          <w:color w:val="auto"/>
        </w:rPr>
      </w:pPr>
    </w:p>
    <w:p>
      <w:pPr>
        <w:ind w:left="60" w:right="99"/>
        <w:spacing w:after="0" w:line="201" w:lineRule="auto"/>
        <w:rPr>
          <w:sz w:val="20"/>
          <w:szCs w:val="20"/>
          <w:color w:val="auto"/>
        </w:rPr>
      </w:pPr>
      <w:r>
        <w:rPr>
          <w:rFonts w:ascii="Times New Roman" w:cs="Times New Roman" w:eastAsia="Times New Roman" w:hAnsi="Times New Roman"/>
          <w:sz w:val="18"/>
          <w:szCs w:val="18"/>
          <w:color w:val="auto"/>
        </w:rPr>
        <w:t>The $0.4 million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for the three months ended December 31, 2023 was primarily due to a 15.8% decrease in purchased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combined with a 4.0%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per MCF, which was driven by a decrease in our average realized oil price.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injected were reduced compared to prior year period due to a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nominations. In the prior year period,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nominations were higher to compensate for reduced reservoir pressure.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provide approximately 20% of the injected volumes in the field and the field’s recycle facilities provide the other 80%. We do not have any ownership in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pipeline which is owned and operated by Denbury. On a per unit basis,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were $2.81 per BOE and $3.01 per BOE for the three months ended December 31, 2023 and 2022, respectively.</w:t>
      </w:r>
    </w:p>
    <w:p>
      <w:pPr>
        <w:spacing w:after="0" w:line="20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Other lease operating costs decreased $1.5 million, or 13.5%, compared to the prior year period primarily due to lower production combined with the lower commodity price environment. On a per unit basis, other lease operating costs decreased to $16.31 per BOE for the three months ended December 31, 2023 from $16.40 per BOE in the year-ago quarter. The largest decrease in operating costs is at our Barnett Shale properties and the Delhi Field. At the Barnett Shale, significant cost savings efforts are being prioritized due to the lower realized natural gas prices and the shut-in of certain low margin wells at current natural gas prices. We are incurring lower operating costs in all cost categories, especially lower water hauling costs and lower gathering, transportation and processing charges. At Delhi Field, we have seen lower electricity charges due to lower commodity prices.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Depletion expense increased $1.1 million or 33.4% from $3.2 million to $4.2 million for the three months ended December 31, 2023 primarily due to an increase in the depletion rate. On a per unit basis, depletion expense was $7.31 per BOE and $4.76 per BOE for the three months ended December 31, 2023 and 2022, respectively. The depletion rate of our unit of production calculation increased due to decreases in proved reserve volumes as well as increases in our depletable base due to capital expenditures since December 31, 2022. Our proved reserves volumes have decreased since the prior year period primarily due to oil and natural gas volumes produced combined with a reduction in the SEC prices used in calculating proved reserves since the prior year period.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2023 decreased $0.1 million, or 7.1%, to $1.9 million compared to $2.1 million for the prior year period. The decrease primarily relates to lower consulting fees totaling approximately $0.1 million related to our search for a CEO in the prior year period. On a per unit basis, general and administrative expenses were $3.34 per BOE and $3.13 per BOE for the three months ended December 31, 2023 and 2022, respectively. The slight increase on a per unit basis is primarily the result of the decrease in production for the current year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December 31, 2023 increased $0.1 million to $0.6 million compared to $0.5 million in the prior year due to new awards granted during the current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of</w:t>
      </w:r>
    </w:p>
    <w:p>
      <w:pPr>
        <w:spacing w:after="0" w:line="1" w:lineRule="exact"/>
        <w:rPr>
          <w:sz w:val="20"/>
          <w:szCs w:val="20"/>
          <w:color w:val="auto"/>
        </w:rPr>
      </w:pPr>
    </w:p>
    <w:p>
      <w:pPr>
        <w:ind w:left="60" w:right="419"/>
        <w:spacing w:after="0" w:line="253" w:lineRule="auto"/>
        <w:rPr>
          <w:sz w:val="20"/>
          <w:szCs w:val="20"/>
          <w:color w:val="auto"/>
        </w:rPr>
      </w:pPr>
      <w:r>
        <w:rPr>
          <w:rFonts w:ascii="Times New Roman" w:cs="Times New Roman" w:eastAsia="Times New Roman" w:hAnsi="Times New Roman"/>
          <w:sz w:val="18"/>
          <w:szCs w:val="18"/>
          <w:color w:val="auto"/>
        </w:rPr>
        <w:t>December 31, 2023, we did not have any open crude oil or natural gas derivative contracts. In the prior year period, because of our acquisitions during fiscal year 2022 and the corresponding borrowings on our Senior Secured Credit Facility, we were required by terms set in the Senior Secured Credit Facility to hedge a portion of our production. The increase in commodity prices since entering into those hedges resulted in realized losses on derivative contracts for the prior year period.</w:t>
      </w:r>
    </w:p>
    <w:p>
      <w:pPr>
        <w:spacing w:after="0" w:line="20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78.92</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tcBorders>
              <w:top w:val="single" w:sz="8" w:color="CCEEFF"/>
            </w:tcBorders>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tcBorders>
              <w:top w:val="single" w:sz="8" w:color="CCEEFF"/>
            </w:tcBorders>
            <w:vMerge w:val="restart"/>
            <w:shd w:val="clear" w:color="auto" w:fill="CCEEFF"/>
          </w:tcPr>
          <w:p>
            <w:pPr>
              <w:spacing w:after="0"/>
              <w:rPr>
                <w:sz w:val="9"/>
                <w:szCs w:val="9"/>
                <w:color w:val="auto"/>
              </w:rPr>
            </w:pP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239"/>
        <w:spacing w:after="0" w:line="312" w:lineRule="auto"/>
        <w:rPr>
          <w:sz w:val="20"/>
          <w:szCs w:val="20"/>
          <w:color w:val="auto"/>
        </w:rPr>
      </w:pPr>
      <w:r>
        <w:rPr>
          <w:rFonts w:ascii="Times New Roman" w:cs="Times New Roman" w:eastAsia="Times New Roman" w:hAnsi="Times New Roman"/>
          <w:sz w:val="17"/>
          <w:szCs w:val="17"/>
          <w:color w:val="auto"/>
        </w:rPr>
        <w:t>Interest expense decreased $0.1 million for the three months ended December 31, 2023 compared to the prior year period primarily due to repayments of borrowings outstanding on our Senior Secured Credit Facility during the prior fiscal year.</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For the three months ended December 31, 2023, we recognized income tax expense of $0.6 million on net income before income taxes of $1.6 million compared to income tax expense of $2.9 million on net income before income taxes of $13.3 million for the three months ended December 31, 2022. The effective tax rates were 33.9% and 22.0% for three months ended December 31, 2023 and 2022, respectively. The effective tax rate increased compared to the prior year period as projected state income taxes have become a larger component of our overall income tax expense during the period.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December 31, 2023 and 2022</w:t>
      </w:r>
    </w:p>
    <w:p>
      <w:pPr>
        <w:spacing w:after="0" w:line="229"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We reported net income of $2.6 million and $21.1 million for the six months ended December 31, 2023 and 2022, respectively. The following table summarizes the comparison of financial information for the periods presented:</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21,094</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(18,538)</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(87.9)</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(25,135)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41,625</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73,473</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(31,848)</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(6,107)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1,592.3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(5,997)</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9"/>
        </w:trPr>
        <w:tc>
          <w:tcPr>
            <w:tcW w:w="4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tcPr>
          <w:p>
            <w:pPr>
              <w:spacing w:after="0"/>
              <w:rPr>
                <w:sz w:val="16"/>
                <w:szCs w:val="16"/>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Crude oil, natural gas and NGL revenues were $41.6 million and $73.5 million for the six months ended</w:t>
      </w:r>
    </w:p>
    <w:p>
      <w:pPr>
        <w:spacing w:after="0" w:line="27"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December 31, 2023 and 2022, respectively. The decrease in revenues is primarily due to the decrease in our average realized price per BOE coupled with a decrease in our sales volumes. Our average realized commodity price (excluding the impact of derivative contracts) for the six months ended December 31, 2023 decreased approximately $18.37 per BOE, or 34.1%, over the prior year period. 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60.3% from the prior year period, driving the largest decrease in revenues. This was partially attributed to the prior year period benefit of strong natural gas price differentials received at the Jonah Field where we realized an average natural gas price of $9.59 per MCF in the prior year period compared to $4.27 in the current year period. Average daily equivalent production decreased 14.0% from 7,418 BOEPD in the prior year period to 6,380 BOEPD in the current period. We began experiencing production declines and downtime in April 2023 at Barnett. Production declines were primarily related to compression issues due to excessive heat, downtime in the gathering and processing system, pipeline rerouting and optimization, and our operator’s decision to temporarily shut-in certain low margin wells. As of December 31, 2023, the midstream issues have been moderated, but due to low natural gas prices the shut-in wells remain offline which has continued to impact production volumes.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227"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Ad valorem and production taxes were $2.6 million and $5.4 million for the six months ended December 31, 2023 and 2022, respectively. On a per unit basis, ad valorem and production taxes were $2.17 per BOE and $3.93 per BOE for the six months ended December 31, 2023 and 2022, respectively. The decrease in ad valorem and production taxes is primarily due to decreases in oil and natural gas prices as well as decreased production volumes described above as production taxes are based on sales at the wellhead.</w:t>
      </w:r>
    </w:p>
    <w:p>
      <w:pPr>
        <w:spacing w:after="0" w:line="90" w:lineRule="exact"/>
        <w:rPr>
          <w:sz w:val="20"/>
          <w:szCs w:val="20"/>
          <w:color w:val="auto"/>
        </w:rPr>
      </w:pPr>
    </w:p>
    <w:p>
      <w:pPr>
        <w:ind w:left="60" w:right="299"/>
        <w:spacing w:after="0" w:line="248" w:lineRule="auto"/>
        <w:rPr>
          <w:sz w:val="20"/>
          <w:szCs w:val="20"/>
          <w:color w:val="auto"/>
        </w:rPr>
      </w:pPr>
      <w:r>
        <w:rPr>
          <w:rFonts w:ascii="Times New Roman" w:cs="Times New Roman" w:eastAsia="Times New Roman" w:hAnsi="Times New Roman"/>
          <w:sz w:val="17"/>
          <w:szCs w:val="17"/>
          <w:color w:val="auto"/>
        </w:rPr>
        <w:t>The following table summarizes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costs per Mcf and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volumes for the six months ended December 31, 2023 and 2022.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purchase costs are for the Delhi Field. Under our contract with the Delhi Field operator, purchased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is priced at 1% of the realized oil price in the field per MCF, plus sales taxes and transportation costs as per contract terms.</w:t>
      </w:r>
    </w:p>
    <w:p>
      <w:pPr>
        <w:spacing w:after="0" w:line="2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36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69"/>
        </w:trPr>
        <w:tc>
          <w:tcPr>
            <w:tcW w:w="36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 per MCF</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85"/>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volumes (MMCF per day, gross)</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r>
    </w:tbl>
    <w:p>
      <w:pPr>
        <w:spacing w:after="0" w:line="8" w:lineRule="exact"/>
        <w:rPr>
          <w:sz w:val="20"/>
          <w:szCs w:val="20"/>
          <w:color w:val="auto"/>
        </w:rPr>
      </w:pPr>
    </w:p>
    <w:p>
      <w:pPr>
        <w:ind w:left="60" w:right="59"/>
        <w:spacing w:after="0" w:line="208" w:lineRule="auto"/>
        <w:rPr>
          <w:sz w:val="20"/>
          <w:szCs w:val="20"/>
          <w:color w:val="auto"/>
        </w:rPr>
      </w:pPr>
      <w:r>
        <w:rPr>
          <w:rFonts w:ascii="Times New Roman" w:cs="Times New Roman" w:eastAsia="Times New Roman" w:hAnsi="Times New Roman"/>
          <w:sz w:val="18"/>
          <w:szCs w:val="18"/>
          <w:color w:val="auto"/>
        </w:rPr>
        <w:t>The $1.0 million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for the six months ended December 31, 2023 was primarily due to a 17.7% decrease in purchased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combined with a 7.5%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per MCF, which was driven by a decrease in our average realized oil price.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injected were reduced compared to prior year period due to a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nominations and higher ambient temperatures in the Delhi Field during the current period. In the prior year period,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nominations were higher to compensate for reduced reservoir pressure.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provide approximately 20% of the injected volumes in the field and the field’s recycle facilities provide the other 80%. We do not have any ownership in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pipeline which is owned and operated by Denbury. On a per unit basis,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were $2.73 per BOE and $3.08 per BOE for the six months ended December 31, 2023 and 2022, respectively.</w:t>
      </w:r>
    </w:p>
    <w:p>
      <w:pPr>
        <w:spacing w:after="0" w:line="205"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Other lease operating costs decreased $6.1 million, or 24.8%, compared to the prior year period primarily due to lower production combined with the lower commodity price environment. On a per unit basis, other lease operating costs decreased to $15.75 per BOE for the six months ended December 31, 2023 from $18.02 per BOE in the year-ago quarter. The largest decrease in operating costs is at our Barnett Shale properties and the Delhi Field. At the Barnett Shale, significant cost savings efforts are being prioritized due to the lower realized natural gas prices and the shut-in of certain low margin wells at current natural gas prices. We are incurring lower operating costs in all cost categories, especially lower water hauling costs and lower gathering, transportation and processing charges. At Delhi Field, we have seen lower electricity charges due to lower commodity prices.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Depletion expense increased $1.6 million or 25.4% from $6.5 million to $8.1 million for the six months ended</w:t>
      </w:r>
    </w:p>
    <w:p>
      <w:pPr>
        <w:spacing w:after="0" w:line="27"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December 31, 2023 primarily due to an increase in the depletion rate. On a per unit basis, depletion expense was $6.94 per BOE and $4.76 per BOE for the six months ended December 31, 2023 and 2022, respectively. The depletion rate of our unit of production calculation increased due to decreases in proved reserve volumes as well as increase in our depletable base due to capital expenditures since December 31, 2022. Our proved reserves volumes have decreased since the prior year period primarily due to oil and natural gas volumes produced combined with a reduction in the SEC prices used for calculating proved reserves since the prior year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 for the six months ended December 31, 2023 decreased $0.3 million, or 6.5%, to $4.1</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compared to $4.4 million for the prior year period. The decrease primarily relates to lower consulting fees totaling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$0.3 million related to our search for a CEO and outsourced services in the prior year period. On a per unit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basis, general and administrative expenses were $3.47 per BOE and $3.19 per BOE for the six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respectively. The slight increase on a per unit basis is primarily the result of the decrease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production for the current year period.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the six months ended December 31, 2023 increased $0.3 million to $1.0 million compared to $0.7 million for the prior year period. The increase is primarily due to the addition of new personnel, including our CEO and COO added since the prior year period and the associated new awards granted during the current year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of</w:t>
      </w:r>
    </w:p>
    <w:p>
      <w:pPr>
        <w:spacing w:after="0" w:line="1" w:lineRule="exact"/>
        <w:rPr>
          <w:sz w:val="20"/>
          <w:szCs w:val="20"/>
          <w:color w:val="auto"/>
        </w:rPr>
      </w:pPr>
    </w:p>
    <w:p>
      <w:pPr>
        <w:ind w:left="60" w:right="419"/>
        <w:spacing w:after="0" w:line="253" w:lineRule="auto"/>
        <w:rPr>
          <w:sz w:val="20"/>
          <w:szCs w:val="20"/>
          <w:color w:val="auto"/>
        </w:rPr>
      </w:pPr>
      <w:r>
        <w:rPr>
          <w:rFonts w:ascii="Times New Roman" w:cs="Times New Roman" w:eastAsia="Times New Roman" w:hAnsi="Times New Roman"/>
          <w:sz w:val="18"/>
          <w:szCs w:val="18"/>
          <w:color w:val="auto"/>
        </w:rPr>
        <w:t>December 31, 2023, we did not have any open crude oil or natural gas derivative contracts. In the prior year period, because of our acquisitions during fiscal year 2022 and the corresponding borrowings on our Senior Secured Credit Facility, we were required by terms set in the Senior Secured Credit Facility to hedge a portion of our production. The increase in commodity prices since entering into those hedges resulted in realized losses on derivative contracts for the prior year period.</w:t>
      </w:r>
    </w:p>
    <w:p>
      <w:pPr>
        <w:spacing w:after="0" w:line="20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76.17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83.89</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(7.72)</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tcBorders>
              <w:top w:val="single" w:sz="8" w:color="CCEEFF"/>
            </w:tcBorders>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20" w:type="dxa"/>
            <w:vAlign w:val="bottom"/>
            <w:tcBorders>
              <w:top w:val="single" w:sz="8" w:color="CCEEFF"/>
            </w:tcBorders>
            <w:vMerge w:val="restart"/>
            <w:shd w:val="clear" w:color="auto" w:fill="CCEEFF"/>
          </w:tcPr>
          <w:p>
            <w:pPr>
              <w:spacing w:after="0"/>
              <w:rPr>
                <w:sz w:val="9"/>
                <w:szCs w:val="9"/>
                <w:color w:val="auto"/>
              </w:rPr>
            </w:pP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Interest expense decreased $0.3 million for the six months ended December 31, 2023 compared to the prior year period primarily due to repayments of borrowings outstanding on our Senior Secured Credit Facility during the prior fiscal year.</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For the six months ended December 31, 2023, we recognized income tax expense of $1.0 million on net income before income taxes of $3.6 million compared to income tax expense of $6.0 million on net income before income taxes of $27.1 million for the six months ended December 31, 2022. The effective tax rates were 28.5% and 22.1% for three months ended December 31, 2023 and 2022, respectively. The effective tax rate increased compared to the prior year period as projected state income taxes have become a larger component of our overall income tax expense during the period.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There have been no material changes to our critical accounting policies from those described in our Annual Report on Form 10-K for the fiscal year ended June 30,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2023 and 2022, we did not post collateral. We account for our derivative activities under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establishes accounting and reporting that every derivative instrument be recorded on the balance sheet as either an asset or liability measured at fair value. See Note 6,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to our unaudited condensed consolidated financial statements for more details.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are exposed to changes in interest rates. Changes in interest rates affect the interest earned on our cash and cash equivalents. Additionally, any borrowings under the Senior Secured Credit Facility will bear interest, at our option, at either SOFR plus 2.80%, which includes a 0.05% credit spread adjustment from LIBOR,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December 31, 2023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during the quarter ended December 31, 2023, we have determined that there have been no changes in our internal control over financial reporting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0" w:right="299"/>
        <w:spacing w:after="0" w:line="267"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condensed consolidated financial statements in Item 1. </w:t>
      </w:r>
      <w:r>
        <w:rPr>
          <w:rFonts w:ascii="Times New Roman" w:cs="Times New Roman" w:eastAsia="Times New Roman" w:hAnsi="Times New Roman"/>
          <w:sz w:val="18"/>
          <w:szCs w:val="18"/>
          <w:i w:val="1"/>
          <w:iCs w:val="1"/>
          <w:color w:val="auto"/>
        </w:rPr>
        <w:t xml:space="preserve">Condensed Consolidated Financial Statements (Unaudited) </w:t>
      </w:r>
      <w:r>
        <w:rPr>
          <w:rFonts w:ascii="Times New Roman" w:cs="Times New Roman" w:eastAsia="Times New Roman" w:hAnsi="Times New Roman"/>
          <w:sz w:val="18"/>
          <w:szCs w:val="18"/>
          <w:color w:val="auto"/>
        </w:rPr>
        <w:t>for a description of any legal proceedings,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Annual Report on Form 10-K for the year ended June 30, 2023 includes a detailed description of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the Company's purchases of its equity securities during the three months ended December 31, 2023.</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 Total number</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 Maximum dollar value</w:t>
            </w: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 Total number</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 as part</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189"/>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purchased and</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(b) Average price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public announced</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r>
      <w:tr>
        <w:trPr>
          <w:trHeight w:val="23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line="232" w:lineRule="exact"/>
              <w:rPr>
                <w:sz w:val="20"/>
                <w:szCs w:val="20"/>
                <w:color w:val="auto"/>
              </w:rPr>
            </w:pPr>
            <w:r>
              <w:rPr>
                <w:rFonts w:ascii="Times New Roman" w:cs="Times New Roman" w:eastAsia="Times New Roman" w:hAnsi="Times New Roman"/>
                <w:sz w:val="16"/>
                <w:szCs w:val="16"/>
                <w:b w:val="1"/>
                <w:bCs w:val="1"/>
                <w:color w:val="auto"/>
                <w:w w:val="95"/>
              </w:rPr>
              <w:t xml:space="preserve">received </w:t>
            </w:r>
            <w:r>
              <w:rPr>
                <w:rFonts w:ascii="Times New Roman" w:cs="Times New Roman" w:eastAsia="Times New Roman" w:hAnsi="Times New Roman"/>
                <w:sz w:val="24"/>
                <w:szCs w:val="24"/>
                <w:b w:val="1"/>
                <w:bCs w:val="1"/>
                <w:color w:val="auto"/>
                <w:w w:val="95"/>
                <w:vertAlign w:val="superscript"/>
              </w:rPr>
              <w:t>(1)</w:t>
            </w:r>
          </w:p>
        </w:tc>
        <w:tc>
          <w:tcPr>
            <w:tcW w:w="1540" w:type="dxa"/>
            <w:vAlign w:val="bottom"/>
            <w:gridSpan w:val="3"/>
          </w:tcPr>
          <w:p>
            <w:pPr>
              <w:ind w:left="6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4"/>
                <w:szCs w:val="24"/>
                <w:b w:val="1"/>
                <w:bCs w:val="1"/>
                <w:color w:val="auto"/>
                <w:vertAlign w:val="superscript"/>
              </w:rPr>
              <w:t>(1)</w:t>
            </w:r>
          </w:p>
        </w:tc>
        <w:tc>
          <w:tcPr>
            <w:tcW w:w="1940" w:type="dxa"/>
            <w:vAlign w:val="bottom"/>
            <w:gridSpan w:val="2"/>
          </w:tcPr>
          <w:p>
            <w:pPr>
              <w:jc w:val="center"/>
              <w:ind w:right="240"/>
              <w:spacing w:after="0" w:line="232" w:lineRule="exact"/>
              <w:rPr>
                <w:sz w:val="20"/>
                <w:szCs w:val="20"/>
                <w:color w:val="auto"/>
              </w:rPr>
            </w:pPr>
            <w:r>
              <w:rPr>
                <w:rFonts w:ascii="Times New Roman" w:cs="Times New Roman" w:eastAsia="Times New Roman" w:hAnsi="Times New Roman"/>
                <w:sz w:val="16"/>
                <w:szCs w:val="16"/>
                <w:b w:val="1"/>
                <w:bCs w:val="1"/>
                <w:color w:val="auto"/>
                <w:w w:val="97"/>
              </w:rPr>
              <w:t>plans or programs</w:t>
            </w:r>
            <w:r>
              <w:rPr>
                <w:rFonts w:ascii="Times New Roman" w:cs="Times New Roman" w:eastAsia="Times New Roman" w:hAnsi="Times New Roman"/>
                <w:sz w:val="24"/>
                <w:szCs w:val="24"/>
                <w:b w:val="1"/>
                <w:bCs w:val="1"/>
                <w:color w:val="auto"/>
                <w:w w:val="97"/>
                <w:vertAlign w:val="superscript"/>
              </w:rPr>
              <w:t>(2)</w:t>
            </w:r>
          </w:p>
        </w:tc>
        <w:tc>
          <w:tcPr>
            <w:tcW w:w="100" w:type="dxa"/>
            <w:vAlign w:val="bottom"/>
          </w:tcPr>
          <w:p>
            <w:pPr>
              <w:spacing w:after="0"/>
              <w:rPr>
                <w:sz w:val="20"/>
                <w:szCs w:val="20"/>
                <w:color w:val="auto"/>
              </w:rPr>
            </w:pPr>
          </w:p>
        </w:tc>
        <w:tc>
          <w:tcPr>
            <w:tcW w:w="18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6"/>
              </w:rPr>
              <w:t>(in thousands)</w:t>
            </w:r>
            <w:r>
              <w:rPr>
                <w:rFonts w:ascii="Times New Roman" w:cs="Times New Roman" w:eastAsia="Times New Roman" w:hAnsi="Times New Roman"/>
                <w:sz w:val="24"/>
                <w:szCs w:val="24"/>
                <w:b w:val="1"/>
                <w:bCs w:val="1"/>
                <w:color w:val="auto"/>
                <w:w w:val="96"/>
                <w:vertAlign w:val="superscript"/>
              </w:rPr>
              <w:t>(2)</w:t>
            </w:r>
          </w:p>
        </w:tc>
      </w:tr>
      <w:tr>
        <w:trPr>
          <w:trHeight w:val="196"/>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2023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r>
      <w:tr>
        <w:trPr>
          <w:trHeight w:val="20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17,436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60" w:type="dxa"/>
            <w:vAlign w:val="bottom"/>
          </w:tcPr>
          <w:p>
            <w:pPr>
              <w:spacing w:after="0"/>
              <w:rPr>
                <w:sz w:val="17"/>
                <w:szCs w:val="17"/>
                <w:color w:val="auto"/>
              </w:rPr>
            </w:pP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w:t>
            </w:r>
          </w:p>
        </w:tc>
      </w:tr>
      <w:tr>
        <w:trPr>
          <w:trHeight w:val="202"/>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2023</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r>
      <w:tr>
        <w:trPr>
          <w:trHeight w:val="135"/>
        </w:trPr>
        <w:tc>
          <w:tcPr>
            <w:tcW w:w="1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90" w:lineRule="exact"/>
        <w:rPr>
          <w:sz w:val="20"/>
          <w:szCs w:val="20"/>
          <w:color w:val="auto"/>
        </w:rPr>
      </w:pPr>
    </w:p>
    <w:p>
      <w:pPr>
        <w:ind w:left="380" w:right="559" w:hanging="330"/>
        <w:spacing w:after="0" w:line="208" w:lineRule="auto"/>
        <w:tabs>
          <w:tab w:leader="none" w:pos="380" w:val="left"/>
        </w:tabs>
        <w:numPr>
          <w:ilvl w:val="0"/>
          <w:numId w:val="9"/>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color w:val="auto"/>
        </w:rPr>
        <w:t>During the three months ended December 31, 2023, all of the shares received were surrendered by employees in exchange for the payment of tax withholding upon the vesting of restricted stock awards.</w:t>
      </w:r>
    </w:p>
    <w:p>
      <w:pPr>
        <w:spacing w:after="0" w:line="1" w:lineRule="exact"/>
        <w:rPr>
          <w:rFonts w:ascii="Times New Roman" w:cs="Times New Roman" w:eastAsia="Times New Roman" w:hAnsi="Times New Roman"/>
          <w:sz w:val="27"/>
          <w:szCs w:val="27"/>
          <w:i w:val="1"/>
          <w:iCs w:val="1"/>
          <w:color w:val="auto"/>
          <w:vertAlign w:val="superscript"/>
        </w:rPr>
      </w:pPr>
    </w:p>
    <w:p>
      <w:pPr>
        <w:ind w:left="380" w:right="99" w:hanging="330"/>
        <w:spacing w:after="0" w:line="256" w:lineRule="auto"/>
        <w:tabs>
          <w:tab w:leader="none" w:pos="380" w:val="left"/>
        </w:tabs>
        <w:numPr>
          <w:ilvl w:val="0"/>
          <w:numId w:val="9"/>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7"/>
          <w:szCs w:val="17"/>
          <w:color w:val="auto"/>
        </w:rPr>
        <w:t>On September 8, 2022, the Company’s Board of Directors approved a share repurchase program, under which the Company is authorized to repurchase up to $25.0 million of its common stock in the open market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In November 2023, the Company entered into a Rule 10b5-1 plan that authorizes a broker to repurchase shares in the open market subject to pre-defined limitations on trading volume and price. The plan is effective until June 30, 2024, unless extended, renewed or terminated by the Company, and has a maximum authorized amount of $0.8 million over that period. The Company may alter the terms of the plan from time to time to the extent it determines changes are necessary to achieve the intended objectives of the repurchase program.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742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Restated Articles of Incorporation (incorporated by reference to Exhibit 3.1 of our Quarterly Report on</w:t>
              </w:r>
            </w:hyperlink>
          </w:p>
        </w:tc>
        <w:tc>
          <w:tcPr>
            <w:tcW w:w="4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10-Q filed February 8, 2023).</w:t>
              </w:r>
            </w:hyperlink>
          </w:p>
        </w:tc>
      </w:tr>
      <w:tr>
        <w:trPr>
          <w:trHeight w:val="48"/>
        </w:trPr>
        <w:tc>
          <w:tcPr>
            <w:tcW w:w="20" w:type="dxa"/>
            <w:vAlign w:val="bottom"/>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706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Bylaws (incorporated by reference to Exhibit 3.3 of our Annual Report on</w:t>
              </w:r>
            </w:hyperlink>
          </w:p>
        </w:tc>
        <w:tc>
          <w:tcPr>
            <w:tcW w:w="760" w:type="dxa"/>
            <w:vAlign w:val="bottom"/>
            <w:gridSpan w:val="5"/>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10- filed September 13, 2023)</w:t>
              </w:r>
            </w:hyperlink>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4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15D-14 of the Securities Exchange Act of</w:t>
            </w:r>
          </w:p>
        </w:tc>
        <w:tc>
          <w:tcPr>
            <w:tcW w:w="38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2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r>
      <w:tr>
        <w:trPr>
          <w:trHeight w:val="48"/>
        </w:trPr>
        <w:tc>
          <w:tcPr>
            <w:tcW w:w="20" w:type="dxa"/>
            <w:vAlign w:val="bottom"/>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15D-14 of the Securities Exchange Act of</w:t>
            </w: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c>
          <w:tcPr>
            <w:tcW w:w="440" w:type="dxa"/>
            <w:vAlign w:val="bottom"/>
            <w:gridSpan w:val="4"/>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5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c>
          <w:tcPr>
            <w:tcW w:w="320" w:type="dxa"/>
            <w:vAlign w:val="bottom"/>
            <w:tcBorders>
              <w:bottom w:val="single" w:sz="8" w:color="CCEEFF"/>
            </w:tcBorders>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400" w:type="dxa"/>
            <w:vAlign w:val="bottom"/>
            <w:tcBorders>
              <w:bottom w:val="single" w:sz="8" w:color="CCEEFF"/>
            </w:tcBorders>
            <w:gridSpan w:val="7"/>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78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80" w:type="dxa"/>
            <w:vAlign w:val="bottom"/>
            <w:gridSpan w:val="2"/>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78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9"/>
        </w:trPr>
        <w:tc>
          <w:tcPr>
            <w:tcW w:w="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7"/>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101.CAL*</w:t>
            </w:r>
          </w:p>
        </w:tc>
        <w:tc>
          <w:tcPr>
            <w:tcW w:w="78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9"/>
        </w:trPr>
        <w:tc>
          <w:tcPr>
            <w:tcW w:w="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7"/>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101.LAB*</w:t>
            </w:r>
          </w:p>
        </w:tc>
        <w:tc>
          <w:tcPr>
            <w:tcW w:w="78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7"/>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8"/>
        </w:trPr>
        <w:tc>
          <w:tcPr>
            <w:tcW w:w="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r>
    </w:tbl>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Attached hereto.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93" w:lineRule="exact"/>
        <w:rPr>
          <w:sz w:val="20"/>
          <w:szCs w:val="20"/>
          <w:color w:val="auto"/>
        </w:rPr>
      </w:pPr>
    </w:p>
    <w:p>
      <w:pPr>
        <w:ind w:left="4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2571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Kelly W. Loyd</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Executive Officer) and Director</w:t>
      </w:r>
    </w:p>
    <w:p>
      <w:pPr>
        <w:spacing w:after="0" w:line="200" w:lineRule="exact"/>
        <w:rPr>
          <w:sz w:val="20"/>
          <w:szCs w:val="20"/>
          <w:color w:val="auto"/>
        </w:rPr>
      </w:pPr>
    </w:p>
    <w:p>
      <w:pPr>
        <w:spacing w:after="0" w:line="223" w:lineRule="exact"/>
        <w:rPr>
          <w:sz w:val="20"/>
          <w:szCs w:val="20"/>
          <w:color w:val="auto"/>
        </w:rPr>
      </w:pPr>
    </w:p>
    <w:p>
      <w:pPr>
        <w:ind w:left="458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STASH</w:t>
      </w:r>
    </w:p>
    <w:p>
      <w:pPr>
        <w:spacing w:after="0" w:line="48"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-126365</wp:posOffset>
            </wp:positionV>
            <wp:extent cx="2571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Kelly W. Loyd, President and Chief Executive Officer (Principal Executive Officer) and Director,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7,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W. LOYD</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 Ryan Stash, Senior Vice President, Chief Financial Officer (Principal Financial Officer) and Treasurer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7,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STASH</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December 31, 2023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7, 2024.</w:t>
      </w:r>
    </w:p>
    <w:p>
      <w:pPr>
        <w:spacing w:after="0" w:line="2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December 31, 2023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7, 2024.</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17145</wp:posOffset>
            </wp:positionV>
            <wp:extent cx="3180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p>
      <w:pPr>
        <w:spacing w:after="0" w:line="9"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9" Type="http://schemas.openxmlformats.org/officeDocument/2006/relationships/hyperlink" Target="https://www.sec.gov/Archives/edgar/data/1006655/000155837023001024/epm-20221231xex3d1.htm" TargetMode="External"/><Relationship Id="rId60" Type="http://schemas.openxmlformats.org/officeDocument/2006/relationships/hyperlink" Target="https://www.sec.gov/Archives/edgar/data/1006655/000155837023015706/epm-20230630xex3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2024-02-07T15:35:53Z</dcterms:created>
  <dcterms:modified xsi:type="dcterms:W3CDTF">2024-02-07T15:35:53Z</dcterms:modified>
</cp:coreProperties>
</file>