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40930x10q.htm"/>
        <w:bookmarkStart w:id="1" w:name="ksepm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no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88171593_2add_4b3a_be5f_bcc8a27c7ab2"/>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VuCwofqVWUOuQmi5TZCcGA_1_1"/>
      <w:bookmarkStart w:id="4" w:name="_2fa85096_77a2_4581_823b_7944b3a01cd2"/>
      <w:bookmarkStart w:id="5" w:name="Tc_VuCwofqVWUOuQmi5TZCcGA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September 30,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3fwHQqPxhU62jZwxPC6yLQ_1_1"/>
      <w:bookmarkStart w:id="8" w:name="_af930417_011f_4f11_9677_879e1df9540b"/>
      <w:bookmarkStart w:id="9" w:name="Tc_3fwHQqPxhU62jZwxPC6yLQ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fmPPf2sUvEi_7yzZXl_4iw_2_2"/>
      <w:bookmarkStart w:id="12" w:name="Tc_wLe30P0s50u95B00IJM0gQ_2_0"/>
      <w:bookmarkStart w:id="13" w:name="_fd1beca5_de47_40f7_9962_f379b5f73a9f"/>
      <w:bookmarkStart w:id="14" w:name="Tc_fmPPf2sUvEi_7yzZXl_4iw_2_2"/>
      <w:bookmarkStart w:id="15" w:name="Tc_wLe30P0s50u95B00IJM0gQ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hYx4cQqCxUaWirw74MyINA_1_4"/>
      <w:bookmarkStart w:id="18" w:name="Tc_LQjJL6nbY0ms1iQUddFDCA_1_2"/>
      <w:bookmarkStart w:id="19" w:name="Tc_-4Vtb2N5rEGa2fgy2Q5isg_1_0"/>
      <w:bookmarkStart w:id="20" w:name="_2ccd0b3c_0436_4571_b5e9_837a8404eef0"/>
      <w:bookmarkStart w:id="21" w:name="Tc_hYx4cQqCxUaWirw74MyINA_1_4"/>
      <w:bookmarkStart w:id="22" w:name="Tc_LQjJL6nbY0ms1iQUddFDCA_1_2"/>
      <w:bookmarkStart w:id="23" w:name="Tc_-4Vtb2N5rEGa2fgy2Q5isg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8p-NZ2CNtUGQeJ3mUxvYXg_3_6"/>
      <w:bookmarkStart w:id="26" w:name="Tc_9Q14nVYmTU6X-F7zj4FMdg_2_6"/>
      <w:bookmarkStart w:id="27" w:name="Tc_xLLgBCBpHU6g4h-3LA3zRA_2_5"/>
      <w:bookmarkStart w:id="28" w:name="Tc_et_HIFCPhkOVduzsPHvulA_2_3"/>
      <w:bookmarkStart w:id="29" w:name="Tc_U4f4PGJWx0uHxxyiqtjDKA_2_2"/>
      <w:bookmarkStart w:id="30" w:name="Tc_CJO6oFRYoUuT3uK5OJNeWg_2_1"/>
      <w:bookmarkStart w:id="31" w:name="Tc_WxzED6NX8Uu6iO3rReHzmQ_2_0"/>
      <w:bookmarkStart w:id="32" w:name="_0c033832_2356_4576_94cf_d4be85956822"/>
      <w:bookmarkStart w:id="33" w:name="Tc_8p-NZ2CNtUGQeJ3mUxvYXg_3_6"/>
      <w:bookmarkStart w:id="34" w:name="Tc_9Q14nVYmTU6X-F7zj4FMdg_2_6"/>
      <w:bookmarkStart w:id="35" w:name="Tc_xLLgBCBpHU6g4h-3LA3zRA_2_5"/>
      <w:bookmarkStart w:id="36" w:name="Tc_et_HIFCPhkOVduzsPHvulA_2_3"/>
      <w:bookmarkStart w:id="37" w:name="Tc_U4f4PGJWx0uHxxyiqtjDKA_2_2"/>
      <w:bookmarkStart w:id="38" w:name="Tc_CJO6oFRYoUuT3uK5OJNeWg_2_1"/>
      <w:bookmarkStart w:id="39" w:name="Tc_WxzED6NX8Uu6iO3rReHzmQ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November 7, 2024, 33,595,542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60b995e2_6931_4058_b7a3_74e87d47485e"/>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8"/>
        <w:gridCol w:w="9075"/>
        <w:gridCol w:w="362"/>
      </w:tblGrid>
      <w:tr>
        <w:trPr/>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87680" cy="175260"/>
                      <wp:effectExtent l="0" t="0" r="0" b="0"/>
                      <wp:wrapNone/>
                      <wp:docPr id="14" name="Frame1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62625" cy="175260"/>
                      <wp:effectExtent l="0" t="0" r="0" b="0"/>
                      <wp:wrapNone/>
                      <wp:docPr id="15" name="Frame14"/>
                      <a:graphic xmlns:a="http://schemas.openxmlformats.org/drawingml/2006/main">
                        <a:graphicData uri="http://schemas.microsoft.com/office/word/2010/wordprocessingShape">
                          <wps:wsp>
                            <wps:cNvSpPr txBox="1"/>
                            <wps:spPr>
                              <a:xfrm>
                                <a:off x="0" y="0"/>
                                <a:ext cx="576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75"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September 30, 2024 and June 30, 2024</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months ended September 30, 2024 and 2023</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September 30, 2024 and 2023</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months ended September 30, 2024 and 2023</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8"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8"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75"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75"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75"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a6155f1d_d33d_41ff_abda_bab5d8492f72"/>
      <w:bookmarkStart w:id="45" w:name="_Hlk147823079"/>
      <w:bookmarkStart w:id="46" w:name="_Hlk179296867"/>
      <w:bookmarkEnd w:id="43"/>
      <w:bookmarkEnd w:id="44"/>
      <w:bookmarkEnd w:id="45"/>
      <w:bookmarkEnd w:id="46"/>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future acquisitions and the need for additional capital to complete future acquisitions;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including accidents, equipment failures, fires, and leaks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other sources of liquidity to meet financial obligations throughout commodity price cycles;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(“ESG”) performance;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2024, as well 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7" w:name="Part_I_Financial_Information"/>
      <w:bookmarkStart w:id="48" w:name="_15a65b0e_7d28_49f1_babf_c01e03346a81"/>
      <w:bookmarkEnd w:id="47"/>
      <w:bookmarkEnd w:id="48"/>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bookmarkStart w:id="49" w:name="Item_1_Condensed_Consolidated_Financial"/>
      <w:bookmarkEnd w:id="49"/>
      <w:r>
        <w:rPr/>
        <w:t>​</w:t>
      </w:r>
    </w:p>
    <w:p>
      <w:pPr>
        <w:pStyle w:val="TextBody"/>
        <w:bidi w:val="0"/>
        <w:spacing w:before="0" w:after="120"/>
        <w:ind w:left="0" w:right="0" w:hanging="0"/>
        <w:jc w:val="center"/>
        <w:rPr>
          <w:rFonts w:ascii="Times New Roman;Times;serif" w:hAnsi="Times New Roman;Times;serif"/>
          <w:b/>
          <w:sz w:val="20"/>
        </w:rPr>
      </w:pPr>
      <w:bookmarkStart w:id="50" w:name="ConsolidatedCondensedBalanceSheets"/>
      <w:bookmarkStart w:id="51" w:name="_26c7e877_307b_4273_b951_3ff5e9ca5b0d"/>
      <w:bookmarkEnd w:id="50"/>
      <w:bookmarkEnd w:id="51"/>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2" w:name="Tc_t5ITvNfJ9EiQt5mRgLbDHA_38_5"/>
      <w:bookmarkStart w:id="53" w:name="Tc_UZrOy1K-r02zTE6PmEz0lg_38_2"/>
      <w:bookmarkStart w:id="54" w:name="Tc_SP-eA73E5kacEY6mmBSXQg_38_0"/>
      <w:bookmarkStart w:id="55" w:name="Tc_SXnD63R1iUOLrmntAMrGgg_37_0"/>
      <w:bookmarkStart w:id="56" w:name="Tc_DJJAEj5YukWBy37JvKQauw_36_0"/>
      <w:bookmarkStart w:id="57" w:name="Tc_tVzyMcY2AESJZWTQC19vwQ_35_0"/>
      <w:bookmarkStart w:id="58" w:name="Tc_XpBctRgnaEyu8SIgna1TUQ_34_0"/>
      <w:bookmarkStart w:id="59" w:name="Tc_iwGzaz6HDEiDYf01bGKNPQ_33_0"/>
      <w:bookmarkStart w:id="60" w:name="Tc_m1to7bquMEmuyOc09q_rZQ_32_0"/>
      <w:bookmarkStart w:id="61" w:name="Tc_sPtMYeT3nUK-_0elatwzkQ_31_0"/>
      <w:bookmarkStart w:id="62" w:name="Tc_i4Ml0N6ZvkCUaaji-nDxDg_30_0"/>
      <w:bookmarkStart w:id="63" w:name="Tc_GkxF8e-6skGCYciaImZN6w_29_0"/>
      <w:bookmarkStart w:id="64" w:name="Tc_KnJSfZSRU0qaagoZVR3MIQ_28_0"/>
      <w:bookmarkStart w:id="65" w:name="Tc_XWOolA-4_Eu3a259S6fJHQ_27_0"/>
      <w:bookmarkStart w:id="66" w:name="Tc_hDyV9p4ypkmQ9vFhG1zHdw_26_0"/>
      <w:bookmarkStart w:id="67" w:name="Tc_zLmebRg1ZUaLyrW6yyM5sw_25_0"/>
      <w:bookmarkStart w:id="68" w:name="Tc_nmJpoyXyu0Wb6-f7YHkycw_24_0"/>
      <w:bookmarkStart w:id="69" w:name="Tc_ijtoS6Ayxk6GN-Y3qw5YUg_23_0"/>
      <w:bookmarkStart w:id="70" w:name="Tc_p9krtz4TT0SyaLDUnlJyrw_22_0"/>
      <w:bookmarkStart w:id="71" w:name="Tc__Ooi9JKys0SLsjRlQmVnLQ_21_3"/>
      <w:bookmarkStart w:id="72" w:name="Tc_txg6AA_Z5kSB-0IUpgSiIw_21_0"/>
      <w:bookmarkStart w:id="73" w:name="Tc_yccz1XLKD0CSWsMMTt--dQ_20_0"/>
      <w:bookmarkStart w:id="74" w:name="Tc_JZs_sBqkGUyTlddFVa3wZg_19_0"/>
      <w:bookmarkStart w:id="75" w:name="Tc_32PwT7SMeEW5el0u5b6OjA_18_5"/>
      <w:bookmarkStart w:id="76" w:name="Tc_xyrHgt_CZUWQGWP-Yt0BJw_18_2"/>
      <w:bookmarkStart w:id="77" w:name="Tc_e9KMnjJv3UywvfMJnTU0Lw_18_0"/>
      <w:bookmarkStart w:id="78" w:name="Tc_EbDrP5VM7k6B4noy79vqEA_17_0"/>
      <w:bookmarkStart w:id="79" w:name="Tc_Dh0Ow2FChEWoaRwHg7VfQA_16_0"/>
      <w:bookmarkStart w:id="80" w:name="Tc_gIEYCvJRIEmIMyf9tSAD-g_15_5"/>
      <w:bookmarkStart w:id="81" w:name="Tc_XE2F2TVWKECxfg-6F2aIYg_15_2"/>
      <w:bookmarkStart w:id="82" w:name="Tc_TKXMmfvyFEy1J4-Xp-akGQ_15_0"/>
      <w:bookmarkStart w:id="83" w:name="Tc_Hvv4BIMbXk6x-smE4F1EuA_14_0"/>
      <w:bookmarkStart w:id="84" w:name="Tc_cFIBDx6K9kanxNm28cb99g_13_0"/>
      <w:bookmarkStart w:id="85" w:name="Tc_dnormAol2EuOWKfiI5ljuw_12_0"/>
      <w:bookmarkStart w:id="86" w:name="Tc_wc5lRxB0EEOb9BR5hqspCg_10_0"/>
      <w:bookmarkStart w:id="87" w:name="Tc_ggL1YISreUOBgW8cURM4og_9_0"/>
      <w:bookmarkStart w:id="88" w:name="Tc_npbAsROhh0uUBSX_ER8tkQ_8_0"/>
      <w:bookmarkStart w:id="89" w:name="Tc_lsdU7oLakkCKIgS0o54-xA_7_0"/>
      <w:bookmarkStart w:id="90" w:name="Tc_pJPnQ-2s1E-rQqe4r-3tLg_6_0"/>
      <w:bookmarkStart w:id="91" w:name="Tc_6tKXrlHBrEyfxwhOYfOgjA_5_0"/>
      <w:bookmarkStart w:id="92" w:name="Tc_sZFXWB86aESa7PQP68XBNA_4_5"/>
      <w:bookmarkStart w:id="93" w:name="Tc_UQAcgB_WJ0KEd3EKouAMYw_4_2"/>
      <w:bookmarkStart w:id="94" w:name="Tc_5K8ohd1bmEGpqG1qYt4LRg_4_0"/>
      <w:bookmarkStart w:id="95" w:name="Tc_qojwWVkiKEC4DKUDvL-A2g_3_0"/>
      <w:bookmarkStart w:id="96" w:name="Tc_S0m5WPjeikirX2auONVe1g_2_0"/>
      <w:bookmarkStart w:id="97" w:name="Tc_nCPLg_Pe6Uy3mUsLmletHw_1_5"/>
      <w:bookmarkStart w:id="98" w:name="Tc_n9K7yP0j1ESDBYzcSyHm5w_1_2"/>
      <w:bookmarkStart w:id="99" w:name="_02e7d75a_4f6f_4234_a115_8b95b7bce8cd"/>
      <w:bookmarkStart w:id="100" w:name="Tc_t5ITvNfJ9EiQt5mRgLbDHA_38_5"/>
      <w:bookmarkStart w:id="101" w:name="Tc_UZrOy1K-r02zTE6PmEz0lg_38_2"/>
      <w:bookmarkStart w:id="102" w:name="Tc_SP-eA73E5kacEY6mmBSXQg_38_0"/>
      <w:bookmarkStart w:id="103" w:name="Tc_SXnD63R1iUOLrmntAMrGgg_37_0"/>
      <w:bookmarkStart w:id="104" w:name="Tc_DJJAEj5YukWBy37JvKQauw_36_0"/>
      <w:bookmarkStart w:id="105" w:name="Tc_tVzyMcY2AESJZWTQC19vwQ_35_0"/>
      <w:bookmarkStart w:id="106" w:name="Tc_XpBctRgnaEyu8SIgna1TUQ_34_0"/>
      <w:bookmarkStart w:id="107" w:name="Tc_iwGzaz6HDEiDYf01bGKNPQ_33_0"/>
      <w:bookmarkStart w:id="108" w:name="Tc_m1to7bquMEmuyOc09q_rZQ_32_0"/>
      <w:bookmarkStart w:id="109" w:name="Tc_sPtMYeT3nUK-_0elatwzkQ_31_0"/>
      <w:bookmarkStart w:id="110" w:name="Tc_i4Ml0N6ZvkCUaaji-nDxDg_30_0"/>
      <w:bookmarkStart w:id="111" w:name="Tc_GkxF8e-6skGCYciaImZN6w_29_0"/>
      <w:bookmarkStart w:id="112" w:name="Tc_KnJSfZSRU0qaagoZVR3MIQ_28_0"/>
      <w:bookmarkStart w:id="113" w:name="Tc_XWOolA-4_Eu3a259S6fJHQ_27_0"/>
      <w:bookmarkStart w:id="114" w:name="Tc_hDyV9p4ypkmQ9vFhG1zHdw_26_0"/>
      <w:bookmarkStart w:id="115" w:name="Tc_zLmebRg1ZUaLyrW6yyM5sw_25_0"/>
      <w:bookmarkStart w:id="116" w:name="Tc_nmJpoyXyu0Wb6-f7YHkycw_24_0"/>
      <w:bookmarkStart w:id="117" w:name="Tc_ijtoS6Ayxk6GN-Y3qw5YUg_23_0"/>
      <w:bookmarkStart w:id="118" w:name="Tc_p9krtz4TT0SyaLDUnlJyrw_22_0"/>
      <w:bookmarkStart w:id="119" w:name="Tc__Ooi9JKys0SLsjRlQmVnLQ_21_3"/>
      <w:bookmarkStart w:id="120" w:name="Tc_txg6AA_Z5kSB-0IUpgSiIw_21_0"/>
      <w:bookmarkStart w:id="121" w:name="Tc_yccz1XLKD0CSWsMMTt--dQ_20_0"/>
      <w:bookmarkStart w:id="122" w:name="Tc_JZs_sBqkGUyTlddFVa3wZg_19_0"/>
      <w:bookmarkStart w:id="123" w:name="Tc_32PwT7SMeEW5el0u5b6OjA_18_5"/>
      <w:bookmarkStart w:id="124" w:name="Tc_xyrHgt_CZUWQGWP-Yt0BJw_18_2"/>
      <w:bookmarkStart w:id="125" w:name="Tc_e9KMnjJv3UywvfMJnTU0Lw_18_0"/>
      <w:bookmarkStart w:id="126" w:name="Tc_EbDrP5VM7k6B4noy79vqEA_17_0"/>
      <w:bookmarkStart w:id="127" w:name="Tc_Dh0Ow2FChEWoaRwHg7VfQA_16_0"/>
      <w:bookmarkStart w:id="128" w:name="Tc_gIEYCvJRIEmIMyf9tSAD-g_15_5"/>
      <w:bookmarkStart w:id="129" w:name="Tc_XE2F2TVWKECxfg-6F2aIYg_15_2"/>
      <w:bookmarkStart w:id="130" w:name="Tc_TKXMmfvyFEy1J4-Xp-akGQ_15_0"/>
      <w:bookmarkStart w:id="131" w:name="Tc_Hvv4BIMbXk6x-smE4F1EuA_14_0"/>
      <w:bookmarkStart w:id="132" w:name="Tc_cFIBDx6K9kanxNm28cb99g_13_0"/>
      <w:bookmarkStart w:id="133" w:name="Tc_dnormAol2EuOWKfiI5ljuw_12_0"/>
      <w:bookmarkStart w:id="134" w:name="Tc_wc5lRxB0EEOb9BR5hqspCg_10_0"/>
      <w:bookmarkStart w:id="135" w:name="Tc_ggL1YISreUOBgW8cURM4og_9_0"/>
      <w:bookmarkStart w:id="136" w:name="Tc_npbAsROhh0uUBSX_ER8tkQ_8_0"/>
      <w:bookmarkStart w:id="137" w:name="Tc_lsdU7oLakkCKIgS0o54-xA_7_0"/>
      <w:bookmarkStart w:id="138" w:name="Tc_pJPnQ-2s1E-rQqe4r-3tLg_6_0"/>
      <w:bookmarkStart w:id="139" w:name="Tc_6tKXrlHBrEyfxwhOYfOgjA_5_0"/>
      <w:bookmarkStart w:id="140" w:name="Tc_sZFXWB86aESa7PQP68XBNA_4_5"/>
      <w:bookmarkStart w:id="141" w:name="Tc_UQAcgB_WJ0KEd3EKouAMYw_4_2"/>
      <w:bookmarkStart w:id="142" w:name="Tc_5K8ohd1bmEGpqG1qYt4LRg_4_0"/>
      <w:bookmarkStart w:id="143" w:name="Tc_qojwWVkiKEC4DKUDvL-A2g_3_0"/>
      <w:bookmarkStart w:id="144" w:name="Tc_S0m5WPjeikirX2auONVe1g_2_0"/>
      <w:bookmarkStart w:id="145" w:name="Tc_nCPLg_Pe6Uy3mUsLmletHw_1_5"/>
      <w:bookmarkStart w:id="146" w:name="Tc_n9K7yP0j1ESDBYzcSyHm5w_1_2"/>
      <w:bookmarkStart w:id="147" w:name="_02e7d75a_4f6f_4234_a115_8b95b7bce8cd"/>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6746"/>
        <w:gridCol w:w="326"/>
        <w:gridCol w:w="354"/>
        <w:gridCol w:w="1252"/>
        <w:gridCol w:w="326"/>
        <w:gridCol w:w="237"/>
        <w:gridCol w:w="964"/>
      </w:tblGrid>
      <w:tr>
        <w:trPr/>
        <w:tc>
          <w:tcPr>
            <w:tcW w:w="6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83710" cy="175260"/>
                      <wp:effectExtent l="0" t="0" r="0" b="0"/>
                      <wp:wrapNone/>
                      <wp:docPr id="17" name="Frame16"/>
                      <a:graphic xmlns:a="http://schemas.openxmlformats.org/drawingml/2006/main">
                        <a:graphicData uri="http://schemas.microsoft.com/office/word/2010/wordprocessingShape">
                          <wps:wsp>
                            <wps:cNvSpPr txBox="1"/>
                            <wps:spPr>
                              <a:xfrm>
                                <a:off x="0" y="0"/>
                                <a:ext cx="428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4790" cy="175260"/>
                      <wp:effectExtent l="0" t="0" r="0" b="0"/>
                      <wp:wrapNone/>
                      <wp:docPr id="19" name="Frame1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95020" cy="175260"/>
                      <wp:effectExtent l="0" t="0" r="0" b="0"/>
                      <wp:wrapNone/>
                      <wp:docPr id="20" name="Frame1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67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10,826</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3,855</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20,985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21,723</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net—full-cost method of accounting, of which none were excluded from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135,477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139,685</w:t>
            </w:r>
          </w:p>
        </w:tc>
      </w:tr>
      <w:tr>
        <w:trPr/>
        <w:tc>
          <w:tcPr>
            <w:tcW w:w="6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157,942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162,877</w:t>
            </w:r>
          </w:p>
        </w:tc>
      </w:tr>
      <w:tr>
        <w:trPr/>
        <w:tc>
          <w:tcPr>
            <w:tcW w:w="67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7,538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8,308</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6,239</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1,192</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12,439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15,813</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39,500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39,500</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19,610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19,209</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78,312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81,750</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33,606,532</w:t>
            </w:r>
            <w:r>
              <w:rPr>
                <w:rFonts w:ascii="Times New Roman;Times;serif" w:hAnsi="Times New Roman;Times;serif"/>
                <w:sz w:val="20"/>
              </w:rPr>
              <w:t xml:space="preserve"> </w:t>
            </w:r>
            <w:r>
              <w:rPr>
                <w:rFonts w:ascii="Times New Roman;Times;serif" w:hAnsi="Times New Roman;Times;serif"/>
                <w:sz w:val="18"/>
              </w:rPr>
              <w:t>and 33,339,535</w:t>
            </w:r>
            <w:r>
              <w:rPr>
                <w:rFonts w:ascii="Times New Roman;Times;serif" w:hAnsi="Times New Roman;Times;serif"/>
                <w:sz w:val="20"/>
              </w:rPr>
              <w:t xml:space="preserve"> </w:t>
            </w:r>
            <w:r>
              <w:rPr>
                <w:rFonts w:ascii="Times New Roman;Times;serif" w:hAnsi="Times New Roman;Times;serif"/>
                <w:sz w:val="18"/>
              </w:rPr>
              <w:t>shares as of September 30, 2024</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2024, respectively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41,561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41,091</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38,035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40,003</w:t>
            </w:r>
          </w:p>
        </w:tc>
      </w:tr>
      <w:tr>
        <w:trPr/>
        <w:tc>
          <w:tcPr>
            <w:tcW w:w="67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79,630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81,127</w:t>
            </w:r>
          </w:p>
        </w:tc>
      </w:tr>
      <w:tr>
        <w:trPr/>
        <w:tc>
          <w:tcPr>
            <w:tcW w:w="67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157,942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162,877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8" w:name="ConsolidatedCondensedStatementsofOperati"/>
      <w:bookmarkStart w:id="149" w:name="_527b9424_c234_4276_b66a_4c9eb9806f20"/>
      <w:bookmarkEnd w:id="148"/>
      <w:bookmarkEnd w:id="1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BIkqk159PU27DNmU_GC2oA_27_0"/>
      <w:bookmarkStart w:id="151" w:name="Tc_PwenH9Hn7EKoQzmZID8tzw_26_0"/>
      <w:bookmarkStart w:id="152" w:name="Tc_GrIeMTkXd0CFu-8pop1Icg_25_0"/>
      <w:bookmarkStart w:id="153" w:name="Tc_0Z-lEs043UyjEdONipiGdA_24_5"/>
      <w:bookmarkStart w:id="154" w:name="Tc_06gU1JFbKk2R88N26TDQ0Q_24_2"/>
      <w:bookmarkStart w:id="155" w:name="Tc_y7hZexwL6kuXUfyBzFPz8w_24_0"/>
      <w:bookmarkStart w:id="156" w:name="Tc_VlQ2bZ9Qj0C6G3pSoJZFLA_23_5"/>
      <w:bookmarkStart w:id="157" w:name="Tc_hJiaGx034UOjQFVUW36S3Q_23_2"/>
      <w:bookmarkStart w:id="158" w:name="Tc_JteNASbyUkGoNbNHa3mO6A_23_0"/>
      <w:bookmarkStart w:id="159" w:name="Tc_JkNNH9naJ0GAZICWR6wndQ_22_0"/>
      <w:bookmarkStart w:id="160" w:name="Tc_kbqUlYSyj0aohzWZXxJz0A_21_5"/>
      <w:bookmarkStart w:id="161" w:name="Tc_C_2NwvqsCE2lOSImJcmfVw_21_2"/>
      <w:bookmarkStart w:id="162" w:name="Tc_Ui0LWeX65ki-ZVVwRsiXnA_21_0"/>
      <w:bookmarkStart w:id="163" w:name="Tc_w9QRmfT_wkqgGKcMSUdTWQ_20_0"/>
      <w:bookmarkStart w:id="164" w:name="Tc_Ru6eZQ8dLUetqz5j82nxrg_19_0"/>
      <w:bookmarkStart w:id="165" w:name="Tc_ddyfVRiiUECCLkmWYRSpIQ_18_0"/>
      <w:bookmarkStart w:id="166" w:name="Tc_-m1Gwjjal0eQUwkWpTFIMA_17_0"/>
      <w:bookmarkStart w:id="167" w:name="Tc_kfYJ4E9xrU-q-Kf6THyVXw_16_6"/>
      <w:bookmarkStart w:id="168" w:name="Tc_XimxP1cbCUCYulwFpc4KyA_16_0"/>
      <w:bookmarkStart w:id="169" w:name="Tc_nHtOtomT8kqjG3s5MZys2A_15_0"/>
      <w:bookmarkStart w:id="170" w:name="Tc_U0gizJFlTEqe-3wdUhOYUg_14_0"/>
      <w:bookmarkStart w:id="171" w:name="Tc_1ITAyZpGyEeaPv-rd3L1Zg_13_0"/>
      <w:bookmarkStart w:id="172" w:name="Tc_G6PEASyi1ki6cQNOW7dbkA_12_0"/>
      <w:bookmarkStart w:id="173" w:name="Tc_d8LYlgg80ke_hUUtq6tsUQ_11_0"/>
      <w:bookmarkStart w:id="174" w:name="Tc_S3VeLhSJsUiOsMJ50Bub-Q_10_0"/>
      <w:bookmarkStart w:id="175" w:name="Tc_AlrGhYDuzUSPlTJkVqOk3g_9_0"/>
      <w:bookmarkStart w:id="176" w:name="Tc_nPjMb12sjEa8wan8mlLbsg_8_0"/>
      <w:bookmarkStart w:id="177" w:name="Tc_l_yvSVsxTUaQCi547mqk-g_7_0"/>
      <w:bookmarkStart w:id="178" w:name="Tc_tjsSv4mQCECYxWsiTYAlpw_6_0"/>
      <w:bookmarkStart w:id="179" w:name="Tc_Yxr7j6qk20-8bUONcKP0Pw_5_5"/>
      <w:bookmarkStart w:id="180" w:name="Tc_WOZ2U-MYfEentpKC22JKCA_5_2"/>
      <w:bookmarkStart w:id="181" w:name="Tc_YK9bcFOEl0qNfM7EiDjstw_5_0"/>
      <w:bookmarkStart w:id="182" w:name="Tc_fH7Ma4zmc0yGSlXdixSk2Q_4_0"/>
      <w:bookmarkStart w:id="183" w:name="Tc_uK2LWf83BUGIYON8Cimyrg_3_5"/>
      <w:bookmarkStart w:id="184" w:name="Tc_ewlSM6Lf3E66j4FGRIw4fw_3_2"/>
      <w:bookmarkStart w:id="185" w:name="Tc_isX2eL3TdEWHsH5OAEa_jQ_2_2"/>
      <w:bookmarkStart w:id="186" w:name="Tc_mJHU0vWyP0Kk4f6LfEEJ5Q_1_2"/>
      <w:bookmarkStart w:id="187" w:name="_ab43d1fc_886f_4742_bb47_d543d5d485af"/>
      <w:bookmarkStart w:id="188" w:name="Tc_BIkqk159PU27DNmU_GC2oA_27_0"/>
      <w:bookmarkStart w:id="189" w:name="Tc_PwenH9Hn7EKoQzmZID8tzw_26_0"/>
      <w:bookmarkStart w:id="190" w:name="Tc_GrIeMTkXd0CFu-8pop1Icg_25_0"/>
      <w:bookmarkStart w:id="191" w:name="Tc_0Z-lEs043UyjEdONipiGdA_24_5"/>
      <w:bookmarkStart w:id="192" w:name="Tc_06gU1JFbKk2R88N26TDQ0Q_24_2"/>
      <w:bookmarkStart w:id="193" w:name="Tc_y7hZexwL6kuXUfyBzFPz8w_24_0"/>
      <w:bookmarkStart w:id="194" w:name="Tc_VlQ2bZ9Qj0C6G3pSoJZFLA_23_5"/>
      <w:bookmarkStart w:id="195" w:name="Tc_hJiaGx034UOjQFVUW36S3Q_23_2"/>
      <w:bookmarkStart w:id="196" w:name="Tc_JteNASbyUkGoNbNHa3mO6A_23_0"/>
      <w:bookmarkStart w:id="197" w:name="Tc_JkNNH9naJ0GAZICWR6wndQ_22_0"/>
      <w:bookmarkStart w:id="198" w:name="Tc_kbqUlYSyj0aohzWZXxJz0A_21_5"/>
      <w:bookmarkStart w:id="199" w:name="Tc_C_2NwvqsCE2lOSImJcmfVw_21_2"/>
      <w:bookmarkStart w:id="200" w:name="Tc_Ui0LWeX65ki-ZVVwRsiXnA_21_0"/>
      <w:bookmarkStart w:id="201" w:name="Tc_w9QRmfT_wkqgGKcMSUdTWQ_20_0"/>
      <w:bookmarkStart w:id="202" w:name="Tc_Ru6eZQ8dLUetqz5j82nxrg_19_0"/>
      <w:bookmarkStart w:id="203" w:name="Tc_ddyfVRiiUECCLkmWYRSpIQ_18_0"/>
      <w:bookmarkStart w:id="204" w:name="Tc_-m1Gwjjal0eQUwkWpTFIMA_17_0"/>
      <w:bookmarkStart w:id="205" w:name="Tc_kfYJ4E9xrU-q-Kf6THyVXw_16_6"/>
      <w:bookmarkStart w:id="206" w:name="Tc_XimxP1cbCUCYulwFpc4KyA_16_0"/>
      <w:bookmarkStart w:id="207" w:name="Tc_nHtOtomT8kqjG3s5MZys2A_15_0"/>
      <w:bookmarkStart w:id="208" w:name="Tc_U0gizJFlTEqe-3wdUhOYUg_14_0"/>
      <w:bookmarkStart w:id="209" w:name="Tc_1ITAyZpGyEeaPv-rd3L1Zg_13_0"/>
      <w:bookmarkStart w:id="210" w:name="Tc_G6PEASyi1ki6cQNOW7dbkA_12_0"/>
      <w:bookmarkStart w:id="211" w:name="Tc_d8LYlgg80ke_hUUtq6tsUQ_11_0"/>
      <w:bookmarkStart w:id="212" w:name="Tc_S3VeLhSJsUiOsMJ50Bub-Q_10_0"/>
      <w:bookmarkStart w:id="213" w:name="Tc_AlrGhYDuzUSPlTJkVqOk3g_9_0"/>
      <w:bookmarkStart w:id="214" w:name="Tc_nPjMb12sjEa8wan8mlLbsg_8_0"/>
      <w:bookmarkStart w:id="215" w:name="Tc_l_yvSVsxTUaQCi547mqk-g_7_0"/>
      <w:bookmarkStart w:id="216" w:name="Tc_tjsSv4mQCECYxWsiTYAlpw_6_0"/>
      <w:bookmarkStart w:id="217" w:name="Tc_Yxr7j6qk20-8bUONcKP0Pw_5_5"/>
      <w:bookmarkStart w:id="218" w:name="Tc_WOZ2U-MYfEentpKC22JKCA_5_2"/>
      <w:bookmarkStart w:id="219" w:name="Tc_YK9bcFOEl0qNfM7EiDjstw_5_0"/>
      <w:bookmarkStart w:id="220" w:name="Tc_fH7Ma4zmc0yGSlXdixSk2Q_4_0"/>
      <w:bookmarkStart w:id="221" w:name="Tc_uK2LWf83BUGIYON8Cimyrg_3_5"/>
      <w:bookmarkStart w:id="222" w:name="Tc_ewlSM6Lf3E66j4FGRIw4fw_3_2"/>
      <w:bookmarkStart w:id="223" w:name="Tc_isX2eL3TdEWHsH5OAEa_jQ_2_2"/>
      <w:bookmarkStart w:id="224" w:name="Tc_mJHU0vWyP0Kk4f6LfEEJ5Q_1_2"/>
      <w:bookmarkStart w:id="225" w:name="_ab43d1fc_886f_4742_bb47_d543d5d485af"/>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6365" w:type="dxa"/>
        <w:jc w:val="left"/>
        <w:tblInd w:w="0" w:type="dxa"/>
        <w:tblLayout w:type="fixed"/>
        <w:tblCellMar>
          <w:top w:w="0" w:type="dxa"/>
          <w:left w:w="0" w:type="dxa"/>
          <w:bottom w:w="0" w:type="dxa"/>
          <w:right w:w="0" w:type="dxa"/>
        </w:tblCellMar>
      </w:tblPr>
      <w:tblGrid>
        <w:gridCol w:w="4231"/>
        <w:gridCol w:w="109"/>
        <w:gridCol w:w="196"/>
        <w:gridCol w:w="601"/>
        <w:gridCol w:w="32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7"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8310" cy="175260"/>
                      <wp:effectExtent l="0" t="0" r="0" b="0"/>
                      <wp:wrapNone/>
                      <wp:docPr id="30" name="Frame2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18,748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32,984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6" w:name="ConsolidatedCondensedStatementsofCashFlo"/>
      <w:bookmarkStart w:id="227" w:name="_7407ef7c_dd08_416e_9b76_d7f0604e6411"/>
      <w:bookmarkEnd w:id="226"/>
      <w:bookmarkEnd w:id="227"/>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8" w:name="Tc_84lzQn3zCkSjKDLyjIzuiA_33_5"/>
      <w:bookmarkStart w:id="229" w:name="Tc_ePKLdI3BoUaylCRjj_BJ5A_33_2"/>
      <w:bookmarkStart w:id="230" w:name="Tc_pEDCYlTB3ku-tYcXXkJBBQ_33_0"/>
      <w:bookmarkStart w:id="231" w:name="Tc_C2I2FdUxUUmM7ZtATdDk8g_32_0"/>
      <w:bookmarkStart w:id="232" w:name="Tc_XVMknI4ZaUitJ2LjJ1aQHw_31_0"/>
      <w:bookmarkStart w:id="233" w:name="Tc_RV5DwwpDSU-Eg1MHDi9D3w_29_5"/>
      <w:bookmarkStart w:id="234" w:name="Tc_ke_dMR438k-BZ5hg4kNzQQ_29_2"/>
      <w:bookmarkStart w:id="235" w:name="Tc_-J1PFFOL90SfyIuu3HSeJA_29_0"/>
      <w:bookmarkStart w:id="236" w:name="Tc_nCtJtV-zQUe5wltljNOfgQ_28_0"/>
      <w:bookmarkStart w:id="237" w:name="Tc_zKpGLMOj2UiCP7_jEgsgdg_27_0"/>
      <w:bookmarkStart w:id="238" w:name="Tc_9VMeh3IUdk6fm8S6LjDWgA_26_0"/>
      <w:bookmarkStart w:id="239" w:name="Tc_9RyxAWeccUuck8taJRq3CQ_25_0"/>
      <w:bookmarkStart w:id="240" w:name="Tc_Cs7CElozIECRrsesmUz7Ig_24_0"/>
      <w:bookmarkStart w:id="241" w:name="Tc_EfdEt60XnUmbTrILh56L4g_23_0"/>
      <w:bookmarkStart w:id="242" w:name="Tc_xFZpU1gQtEygkWrzykBivA_22_0"/>
      <w:bookmarkStart w:id="243" w:name="Tc_qShDM-g_Akyk96I15yQITg_21_0"/>
      <w:bookmarkStart w:id="244" w:name="Tc_ccEHcvufUkKyCMChq_4kUg_20_6"/>
      <w:bookmarkStart w:id="245" w:name="Tc_0yhAp3JWx02FlBD9enIaoA_20_0"/>
      <w:bookmarkStart w:id="246" w:name="Tc_8xllBOT1bU2bUKOy9JtffA_19_0"/>
      <w:bookmarkStart w:id="247" w:name="Tc_RYtv2TD980yMMJNkCQf16g_18_0"/>
      <w:bookmarkStart w:id="248" w:name="Tc_YTrZ_vsNO0OclKAhXRD5uw_17_0"/>
      <w:bookmarkStart w:id="249" w:name="Tc_LmXuLgubf0mcqVcYDLVCQA_16_0"/>
      <w:bookmarkStart w:id="250" w:name="Tc_v9hBvxGnAEuaWGjTcIo-Dw_15_0"/>
      <w:bookmarkStart w:id="251" w:name="Tc_P9EDKhDQG0u4xFunNaXuEQ_14_0"/>
      <w:bookmarkStart w:id="252" w:name="Tc_crGHA8feXkqV9PWC2Rhn1g_13_0"/>
      <w:bookmarkStart w:id="253" w:name="Tc_XwD1iNchWkultReiLN0RHg_12_6"/>
      <w:bookmarkStart w:id="254" w:name="Tc_PSXsOQMmx0aUrzz44wNkdg_12_0"/>
      <w:bookmarkStart w:id="255" w:name="Tc_G79g5tMEEE-ymHHM53YKPw_11_6"/>
      <w:bookmarkStart w:id="256" w:name="Tc_EY9Mw-Xx0UKjxfdq7iOujQ_11_0"/>
      <w:bookmarkStart w:id="257" w:name="Tc_xZ_EL27NiU6wMDPYnbVahg_10_6"/>
      <w:bookmarkStart w:id="258" w:name="Tc_DegJSyF3WkmqNkPaPnr0kg_10_0"/>
      <w:bookmarkStart w:id="259" w:name="Tc_bDxpq0S0n0m8afigkwqmjg_9_0"/>
      <w:bookmarkStart w:id="260" w:name="Tc_ExDWb4ZhXkqcv_MqxETkQQ_8_6"/>
      <w:bookmarkStart w:id="261" w:name="Tc_Au5N_OGrsUSHs_d5i85NoA_8_0"/>
      <w:bookmarkStart w:id="262" w:name="Tc_hDWtNZ5Tgk29KfYmQjzv0Q_7_0"/>
      <w:bookmarkStart w:id="263" w:name="Tc_kNonoPjQpkuNrfl6D6qgxQ_6_0"/>
      <w:bookmarkStart w:id="264" w:name="Tc_d3lfe_aI1ku-xVFojf3wZQ_5_0"/>
      <w:bookmarkStart w:id="265" w:name="Tc_wi1swYMtS06qo54_T4OwZg_4_5"/>
      <w:bookmarkStart w:id="266" w:name="Tc_jspMZ250O0adhFsvOfG51A_4_2"/>
      <w:bookmarkStart w:id="267" w:name="Tc_0vBYf4nTVkCkNTjKhHBpCQ_4_0"/>
      <w:bookmarkStart w:id="268" w:name="Tc_uk6ih50CYkWEtClXqt8Ulg_3_0"/>
      <w:bookmarkStart w:id="269" w:name="Tc_HlJ3dWBvxk6xWZHNuD5tJQ_2_5"/>
      <w:bookmarkStart w:id="270" w:name="Tc_HSCPVSUPhEWFxTQDVUtjJg_2_2"/>
      <w:bookmarkStart w:id="271" w:name="Tc_Ma47O_SG80GvqIHQiUtQmQ_1_2"/>
      <w:bookmarkStart w:id="272" w:name="_014cb2cf_3a29_4038_8aee_cb5e23794f77"/>
      <w:bookmarkStart w:id="273" w:name="Tc_84lzQn3zCkSjKDLyjIzuiA_33_5"/>
      <w:bookmarkStart w:id="274" w:name="Tc_ePKLdI3BoUaylCRjj_BJ5A_33_2"/>
      <w:bookmarkStart w:id="275" w:name="Tc_pEDCYlTB3ku-tYcXXkJBBQ_33_0"/>
      <w:bookmarkStart w:id="276" w:name="Tc_C2I2FdUxUUmM7ZtATdDk8g_32_0"/>
      <w:bookmarkStart w:id="277" w:name="Tc_XVMknI4ZaUitJ2LjJ1aQHw_31_0"/>
      <w:bookmarkStart w:id="278" w:name="Tc_RV5DwwpDSU-Eg1MHDi9D3w_29_5"/>
      <w:bookmarkStart w:id="279" w:name="Tc_ke_dMR438k-BZ5hg4kNzQQ_29_2"/>
      <w:bookmarkStart w:id="280" w:name="Tc_-J1PFFOL90SfyIuu3HSeJA_29_0"/>
      <w:bookmarkStart w:id="281" w:name="Tc_nCtJtV-zQUe5wltljNOfgQ_28_0"/>
      <w:bookmarkStart w:id="282" w:name="Tc_zKpGLMOj2UiCP7_jEgsgdg_27_0"/>
      <w:bookmarkStart w:id="283" w:name="Tc_9VMeh3IUdk6fm8S6LjDWgA_26_0"/>
      <w:bookmarkStart w:id="284" w:name="Tc_9RyxAWeccUuck8taJRq3CQ_25_0"/>
      <w:bookmarkStart w:id="285" w:name="Tc_Cs7CElozIECRrsesmUz7Ig_24_0"/>
      <w:bookmarkStart w:id="286" w:name="Tc_EfdEt60XnUmbTrILh56L4g_23_0"/>
      <w:bookmarkStart w:id="287" w:name="Tc_xFZpU1gQtEygkWrzykBivA_22_0"/>
      <w:bookmarkStart w:id="288" w:name="Tc_qShDM-g_Akyk96I15yQITg_21_0"/>
      <w:bookmarkStart w:id="289" w:name="Tc_ccEHcvufUkKyCMChq_4kUg_20_6"/>
      <w:bookmarkStart w:id="290" w:name="Tc_0yhAp3JWx02FlBD9enIaoA_20_0"/>
      <w:bookmarkStart w:id="291" w:name="Tc_8xllBOT1bU2bUKOy9JtffA_19_0"/>
      <w:bookmarkStart w:id="292" w:name="Tc_RYtv2TD980yMMJNkCQf16g_18_0"/>
      <w:bookmarkStart w:id="293" w:name="Tc_YTrZ_vsNO0OclKAhXRD5uw_17_0"/>
      <w:bookmarkStart w:id="294" w:name="Tc_LmXuLgubf0mcqVcYDLVCQA_16_0"/>
      <w:bookmarkStart w:id="295" w:name="Tc_v9hBvxGnAEuaWGjTcIo-Dw_15_0"/>
      <w:bookmarkStart w:id="296" w:name="Tc_P9EDKhDQG0u4xFunNaXuEQ_14_0"/>
      <w:bookmarkStart w:id="297" w:name="Tc_crGHA8feXkqV9PWC2Rhn1g_13_0"/>
      <w:bookmarkStart w:id="298" w:name="Tc_XwD1iNchWkultReiLN0RHg_12_6"/>
      <w:bookmarkStart w:id="299" w:name="Tc_PSXsOQMmx0aUrzz44wNkdg_12_0"/>
      <w:bookmarkStart w:id="300" w:name="Tc_G79g5tMEEE-ymHHM53YKPw_11_6"/>
      <w:bookmarkStart w:id="301" w:name="Tc_EY9Mw-Xx0UKjxfdq7iOujQ_11_0"/>
      <w:bookmarkStart w:id="302" w:name="Tc_xZ_EL27NiU6wMDPYnbVahg_10_6"/>
      <w:bookmarkStart w:id="303" w:name="Tc_DegJSyF3WkmqNkPaPnr0kg_10_0"/>
      <w:bookmarkStart w:id="304" w:name="Tc_bDxpq0S0n0m8afigkwqmjg_9_0"/>
      <w:bookmarkStart w:id="305" w:name="Tc_ExDWb4ZhXkqcv_MqxETkQQ_8_6"/>
      <w:bookmarkStart w:id="306" w:name="Tc_Au5N_OGrsUSHs_d5i85NoA_8_0"/>
      <w:bookmarkStart w:id="307" w:name="Tc_hDWtNZ5Tgk29KfYmQjzv0Q_7_0"/>
      <w:bookmarkStart w:id="308" w:name="Tc_kNonoPjQpkuNrfl6D6qgxQ_6_0"/>
      <w:bookmarkStart w:id="309" w:name="Tc_d3lfe_aI1ku-xVFojf3wZQ_5_0"/>
      <w:bookmarkStart w:id="310" w:name="Tc_wi1swYMtS06qo54_T4OwZg_4_5"/>
      <w:bookmarkStart w:id="311" w:name="Tc_jspMZ250O0adhFsvOfG51A_4_2"/>
      <w:bookmarkStart w:id="312" w:name="Tc_0vBYf4nTVkCkNTjKhHBpCQ_4_0"/>
      <w:bookmarkStart w:id="313" w:name="Tc_uk6ih50CYkWEtClXqt8Ulg_3_0"/>
      <w:bookmarkStart w:id="314" w:name="Tc_HlJ3dWBvxk6xWZHNuD5tJQ_2_5"/>
      <w:bookmarkStart w:id="315" w:name="Tc_HSCPVSUPhEWFxTQDVUtjJg_2_2"/>
      <w:bookmarkStart w:id="316" w:name="Tc_Ma47O_SG80GvqIHQiUtQmQ_1_2"/>
      <w:bookmarkStart w:id="317" w:name="_014cb2cf_3a29_4038_8aee_cb5e23794f77"/>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9551" w:type="dxa"/>
        <w:jc w:val="left"/>
        <w:tblInd w:w="0" w:type="dxa"/>
        <w:tblLayout w:type="fixed"/>
        <w:tblCellMar>
          <w:top w:w="0" w:type="dxa"/>
          <w:left w:w="0" w:type="dxa"/>
          <w:bottom w:w="0" w:type="dxa"/>
          <w:right w:w="0" w:type="dxa"/>
        </w:tblCellMar>
      </w:tblPr>
      <w:tblGrid>
        <w:gridCol w:w="6241"/>
        <w:gridCol w:w="326"/>
        <w:gridCol w:w="289"/>
        <w:gridCol w:w="930"/>
        <w:gridCol w:w="480"/>
        <w:gridCol w:w="289"/>
        <w:gridCol w:w="996"/>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963035" cy="175260"/>
                      <wp:effectExtent l="0" t="0" r="0" b="0"/>
                      <wp:wrapNone/>
                      <wp:docPr id="31" name="Frame30"/>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3515" cy="175260"/>
                      <wp:effectExtent l="0" t="0" r="0" b="0"/>
                      <wp:wrapNone/>
                      <wp:docPr id="33" name="Frame3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0550" cy="175260"/>
                      <wp:effectExtent l="0" t="0" r="0" b="0"/>
                      <wp:wrapNone/>
                      <wp:docPr id="34" name="Frame33"/>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04800" cy="175260"/>
                      <wp:effectExtent l="0" t="0" r="0" b="0"/>
                      <wp:wrapNone/>
                      <wp:docPr id="35" name="Frame3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3515" cy="175260"/>
                      <wp:effectExtent l="0" t="0" r="0" b="0"/>
                      <wp:wrapNone/>
                      <wp:docPr id="36" name="Frame3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32460" cy="175260"/>
                      <wp:effectExtent l="0" t="0" r="0" b="0"/>
                      <wp:wrapNone/>
                      <wp:docPr id="37" name="Frame36"/>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w:t>
            </w:r>
          </w:p>
        </w:tc>
        <w:tc>
          <w:tcPr>
            <w:tcW w:w="29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624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480" w:type="dxa"/>
            <w:tcBorders/>
            <w:vAlign w:val="center"/>
          </w:tcPr>
          <w:p>
            <w:pPr>
              <w:pStyle w:val="TableContents"/>
              <w:bidi w:val="0"/>
              <w:spacing w:before="0" w:after="1"/>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5,725</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(1,868)</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1,929</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income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7,614</w:t>
            </w:r>
          </w:p>
        </w:tc>
        <w:tc>
          <w:tcPr>
            <w:tcW w:w="480"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(2,740)</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c>
          <w:tcPr>
            <w:tcW w:w="480"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(4,033)</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(4,121)</w:t>
            </w:r>
          </w:p>
        </w:tc>
        <w:tc>
          <w:tcPr>
            <w:tcW w:w="480"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c>
          <w:tcPr>
            <w:tcW w:w="480"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6,937</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9,413</w:t>
            </w:r>
          </w:p>
        </w:tc>
      </w:tr>
      <w:tr>
        <w:trPr/>
        <w:tc>
          <w:tcPr>
            <w:tcW w:w="6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2,014</w:t>
            </w:r>
          </w:p>
        </w:tc>
        <w:tc>
          <w:tcPr>
            <w:tcW w:w="480"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18" w:name="ConsolidatedCondensedStatementsofSHE"/>
      <w:bookmarkStart w:id="319" w:name="_c258fe9a_1bde_4991_8c5e_3d0e085e4656"/>
      <w:bookmarkEnd w:id="318"/>
      <w:bookmarkEnd w:id="31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0" w:name="Tc_ASRx0Txd0EuwbGCqlW-D-Q_22_16"/>
      <w:bookmarkStart w:id="321" w:name="Tc_Fcgdc3wSq0-QR6hnJs-NLQ_22_14"/>
      <w:bookmarkStart w:id="322" w:name="Tc_hnIcEYUSw0iJGk4sU5qlZg_22_13"/>
      <w:bookmarkStart w:id="323" w:name="Tc_7PGX0ijx9kaeMJtGub6lVQ_22_10"/>
      <w:bookmarkStart w:id="324" w:name="Tc_ZO77mXObV02Urb5g4m2vnw_22_7"/>
      <w:bookmarkStart w:id="325" w:name="Tc_045pzpT_ykGIWCmAqvWRzA_22_4"/>
      <w:bookmarkStart w:id="326" w:name="Tc_1tx3eam3CEKdFFgzDIb_mg_22_0"/>
      <w:bookmarkStart w:id="327" w:name="Tc_FlX4FkdtwkOHUeaVpJhWQQ_21_14"/>
      <w:bookmarkStart w:id="328" w:name="Tc_mRapFuIXBk2Wlh0EvJ4ikA_21_8"/>
      <w:bookmarkStart w:id="329" w:name="Tc_Of3bJjF1-EOqFAOtWAZORQ_21_5"/>
      <w:bookmarkStart w:id="330" w:name="Tc_JGVeBgoBg0yoWSvj5H3xzg_21_2"/>
      <w:bookmarkStart w:id="331" w:name="Tc_tZJSKHG6qUyv89Ayy5jLOQ_21_0"/>
      <w:bookmarkStart w:id="332" w:name="Tc_OGgaw_URS0ikqsSxB5qCNg_20_14"/>
      <w:bookmarkStart w:id="333" w:name="Tc_YRK8_AMYm0GF6cby_QC9BQ_20_8"/>
      <w:bookmarkStart w:id="334" w:name="Tc_QQJpy_geOUO3pXYPHKPI6Q_20_5"/>
      <w:bookmarkStart w:id="335" w:name="Tc_YyONN2tCyUSwxSPtqk9JFw_20_2"/>
      <w:bookmarkStart w:id="336" w:name="Tc_rp8BrukeTEyRMq7d2HEHuw_20_0"/>
      <w:bookmarkStart w:id="337" w:name="Tc_KgE4OhTktU2cbuI-lyPTZg_19_14"/>
      <w:bookmarkStart w:id="338" w:name="Tc_sBvHZOBe6UKalDo86yq9zQ_19_11"/>
      <w:bookmarkStart w:id="339" w:name="Tc_JidF9UfUNU6WmD4IGiU1Yg_19_5"/>
      <w:bookmarkStart w:id="340" w:name="Tc_iX5ToWmTyE6HmYAXGjLxLw_19_2"/>
      <w:bookmarkStart w:id="341" w:name="Tc_s0MyEMExmEGLyr_3EzUD_w_19_0"/>
      <w:bookmarkStart w:id="342" w:name="Tc_Sf-totaMcUu_ISps8F_qkQ_18_17"/>
      <w:bookmarkStart w:id="343" w:name="Tc_5mNMsKPaWECMWPmmN7Pdww_18_11"/>
      <w:bookmarkStart w:id="344" w:name="Tc_Hw9he4fTPUa12HsVkpcdEQ_18_5"/>
      <w:bookmarkStart w:id="345" w:name="Tc_mwdhW4K88EysIlteyzmZ_w_18_0"/>
      <w:bookmarkStart w:id="346" w:name="Tc_n5mh1QrCMUi93vo0UEkfsA_17_11"/>
      <w:bookmarkStart w:id="347" w:name="Tc_JqHnw-t18kuq3m2_Zasing_17_8"/>
      <w:bookmarkStart w:id="348" w:name="Tc_dUplrPGXLUu2QyIHspyVSA_17_5"/>
      <w:bookmarkStart w:id="349" w:name="Tc_gSiIYkCCjEiAbTJ3PwCdsQ_17_2"/>
      <w:bookmarkStart w:id="350" w:name="Tc_4yBYMsq3JkayGYFFuyL9Ug_17_0"/>
      <w:bookmarkStart w:id="351" w:name="Tc_co5o6vN5_kOSjj4NF4RLTw_16_17"/>
      <w:bookmarkStart w:id="352" w:name="Tc_POJuQP8N2EajAiz-jKC_pw_16_14"/>
      <w:bookmarkStart w:id="353" w:name="Tc_OAWJf9L8aUS9rmloV86WVQ_16_11"/>
      <w:bookmarkStart w:id="354" w:name="Tc_PEPxASJTskGJuZgr6CppNg_16_8"/>
      <w:bookmarkStart w:id="355" w:name="Tc_l6fgnKRwtU6rTw1yBmSQmw_16_5"/>
      <w:bookmarkStart w:id="356" w:name="Tc_PqPRreSZokK6rJ-FIMBEcg_16_0"/>
      <w:bookmarkStart w:id="357" w:name="Tc_WcqfUhubu0q9YKrbEnsN0g_15_16"/>
      <w:bookmarkStart w:id="358" w:name="Tc_8NfFDdd64kai1Icw16gYKw_15_14"/>
      <w:bookmarkStart w:id="359" w:name="Tc_Z2-ryM3cC0aUjZD_oqH2bg_15_13"/>
      <w:bookmarkStart w:id="360" w:name="Tc_rwAQHnSIUkCuXYIID0JqYw_15_10"/>
      <w:bookmarkStart w:id="361" w:name="Tc_qiZ-z-xsiEC5ek5NlYPgbw_15_7"/>
      <w:bookmarkStart w:id="362" w:name="Tc_AwoeAOga_UuajMPzOMv3aA_15_4"/>
      <w:bookmarkStart w:id="363" w:name="Tc_Z3FcLi53qEKYJHMCUgIADA_15_0"/>
      <w:bookmarkStart w:id="364" w:name="Tc_cf8-vORzlECKVzwH_NWIUA_14_0"/>
      <w:bookmarkStart w:id="365" w:name="Tc_8G-e3nPQpkeALdOGLlk46w_12_16"/>
      <w:bookmarkStart w:id="366" w:name="Tc_fJ2_vZ3d_kqSeDCVHVeYwA_12_14"/>
      <w:bookmarkStart w:id="367" w:name="Tc_YJeX4bgIY0eBAk31bzxbig_12_13"/>
      <w:bookmarkStart w:id="368" w:name="Tc_Jia7A4ym-06B48Rv2C7cug_12_10"/>
      <w:bookmarkStart w:id="369" w:name="Tc_yWCuCJABiUqdHtjHeh8tDw_12_7"/>
      <w:bookmarkStart w:id="370" w:name="Tc_JllUBesVUkSh41cQWyMu5w_12_4"/>
      <w:bookmarkStart w:id="371" w:name="Tc_HCqAufKi80yXBM9e5Om9gw_12_0"/>
      <w:bookmarkStart w:id="372" w:name="Tc_lojLFjG7-0WYlCAJRjQnGA_11_14"/>
      <w:bookmarkStart w:id="373" w:name="Tc_jDUDk60NEUmCrTvp0WBKUg_11_8"/>
      <w:bookmarkStart w:id="374" w:name="Tc_70BdGdpIkUipoP6lKw06Ig_11_5"/>
      <w:bookmarkStart w:id="375" w:name="Tc_Nppi47oTIk6o2wd3GQtY1g_11_2"/>
      <w:bookmarkStart w:id="376" w:name="Tc_urt0sdXhWUeaFb19Qj_Tjw_11_0"/>
      <w:bookmarkStart w:id="377" w:name="Tc_Xl7wEfuwO0eo5oWDnHyQgw_10_14"/>
      <w:bookmarkStart w:id="378" w:name="Tc_2c256c4Tn0SAsLBDYDck4w_10_8"/>
      <w:bookmarkStart w:id="379" w:name="Tc_612ZIepAhkmNplgx8bMYKA_10_5"/>
      <w:bookmarkStart w:id="380" w:name="Tc_qCzCV7VIBUaUkU9QKK8xQA_10_2"/>
      <w:bookmarkStart w:id="381" w:name="Tc_K7R4ik_z1USj-VM7jYEljw_10_0"/>
      <w:bookmarkStart w:id="382" w:name="Tc_RiBmNaU_aEqO_BnAUP5t1g_9_14"/>
      <w:bookmarkStart w:id="383" w:name="Tc_W_mRiZ6qNkGFBk5din2F9Q_9_11"/>
      <w:bookmarkStart w:id="384" w:name="Tc_2-j4VjAmQkmClfUfaObL0Q_9_5"/>
      <w:bookmarkStart w:id="385" w:name="Tc__RyEczwDrEuRRPKAkFM1RA_9_2"/>
      <w:bookmarkStart w:id="386" w:name="Tc_V3f0vTvbkEy6jtl1OahG-Q_9_0"/>
      <w:bookmarkStart w:id="387" w:name="Tc__ZH1IqSPykCQXioY0bw7Ug_8_17"/>
      <w:bookmarkStart w:id="388" w:name="Tc_FAanGuZIbkuDOOqnGV0XJw_8_11"/>
      <w:bookmarkStart w:id="389" w:name="Tc_ELRSXZeixkWoH6kcTA6aBg_8_5"/>
      <w:bookmarkStart w:id="390" w:name="Tc_OaqaExMCFEqzsbpx5xNurw_8_0"/>
      <w:bookmarkStart w:id="391" w:name="Tc_ERcoo9AJ4UCLzONznv8O-A_7_11"/>
      <w:bookmarkStart w:id="392" w:name="Tc_OoYuYTkIs0yNPL52XFYpNg_7_8"/>
      <w:bookmarkStart w:id="393" w:name="Tc_FYGgUMbzl0OGWakUH_RIJg_7_5"/>
      <w:bookmarkStart w:id="394" w:name="Tc_8UuoCtP2XUSq6oCmEu49QA_7_2"/>
      <w:bookmarkStart w:id="395" w:name="Tc_r0ST4Hi3nUeZQU5VVMVTWQ_7_0"/>
      <w:bookmarkStart w:id="396" w:name="Tc_R173M-SsIECKaqdK15EjBQ_6_17"/>
      <w:bookmarkStart w:id="397" w:name="Tc_7d3j5DXmXEmSFtCm_fqsFw_6_14"/>
      <w:bookmarkStart w:id="398" w:name="Tc_eOtAI_ShL0SLyYraWOCh8w_6_11"/>
      <w:bookmarkStart w:id="399" w:name="Tc_tfSB5HfiHkaTgECD-T1bcQ_6_0"/>
      <w:bookmarkStart w:id="400" w:name="Tc_-ralvl9cbkClRsb2D2-MMQ_5_16"/>
      <w:bookmarkStart w:id="401" w:name="Tc_VUjXbDrOYUGIk4sNjc3ezg_5_14"/>
      <w:bookmarkStart w:id="402" w:name="Tc_XIMd08umjUS1gICPkahQ9g_5_13"/>
      <w:bookmarkStart w:id="403" w:name="Tc_nXk-54zh302mIfOdmipM9Q_5_10"/>
      <w:bookmarkStart w:id="404" w:name="Tc_-tiP1_6BoU6hjEuiIhf-TQ_5_7"/>
      <w:bookmarkStart w:id="405" w:name="Tc_pX9uPgWCtE2I0-8gfoNXhw_5_4"/>
      <w:bookmarkStart w:id="406" w:name="Tc_jK-P4LPytkuqyrWl8h3I5A_5_0"/>
      <w:bookmarkStart w:id="407" w:name="Tc_cW9OV14ScEWdL3I84qZ55w_4_0"/>
      <w:bookmarkStart w:id="408" w:name="Tc_8wGizsRkXU-5aTdoYe4Ggw_3_16"/>
      <w:bookmarkStart w:id="409" w:name="Tc_zEKmuqsBAkuayXuNnkuJoA_3_13"/>
      <w:bookmarkStart w:id="410" w:name="Tc_TYE4BWBYzUqIRM0etUIooQ_3_10"/>
      <w:bookmarkStart w:id="411" w:name="Tc__sQa3Zh260mx495mhKfd8Q_3_7"/>
      <w:bookmarkStart w:id="412" w:name="Tc_-85a9vtArUi73-2U5SDLvw_3_4"/>
      <w:bookmarkStart w:id="413" w:name="Tc_ChfomMoqJUGM1AMDbS-gog_3_2"/>
      <w:bookmarkStart w:id="414" w:name="Tc_nhGSb7uYZ0iQeHdlhPTgrA_2_16"/>
      <w:bookmarkStart w:id="415" w:name="Tc_xl5Cu9WM7k-yqqFFZPjZAg_2_13"/>
      <w:bookmarkStart w:id="416" w:name="Tc_cfE4ZU96s0-zQLm41aDGFw_2_10"/>
      <w:bookmarkStart w:id="417" w:name="Tc_NIZ08sC_eUWxSv-OiQP1ug_2_7"/>
      <w:bookmarkStart w:id="418" w:name="Tc_dDvkeWPDNk-PCWm0TzsHCg_2_2"/>
      <w:bookmarkStart w:id="419" w:name="Tc_tBSAZd8e8E-ig34WuWRmUA_1_16"/>
      <w:bookmarkStart w:id="420" w:name="Tc_r1FnwIUXe0WppeRc_r0QYQ_1_7"/>
      <w:bookmarkStart w:id="421" w:name="_06ea1a7d_4c1b_4643_b930_3fb3fce994fd"/>
      <w:bookmarkStart w:id="422" w:name="Tc_ASRx0Txd0EuwbGCqlW-D-Q_22_16"/>
      <w:bookmarkStart w:id="423" w:name="Tc_Fcgdc3wSq0-QR6hnJs-NLQ_22_14"/>
      <w:bookmarkStart w:id="424" w:name="Tc_hnIcEYUSw0iJGk4sU5qlZg_22_13"/>
      <w:bookmarkStart w:id="425" w:name="Tc_7PGX0ijx9kaeMJtGub6lVQ_22_10"/>
      <w:bookmarkStart w:id="426" w:name="Tc_ZO77mXObV02Urb5g4m2vnw_22_7"/>
      <w:bookmarkStart w:id="427" w:name="Tc_045pzpT_ykGIWCmAqvWRzA_22_4"/>
      <w:bookmarkStart w:id="428" w:name="Tc_1tx3eam3CEKdFFgzDIb_mg_22_0"/>
      <w:bookmarkStart w:id="429" w:name="Tc_FlX4FkdtwkOHUeaVpJhWQQ_21_14"/>
      <w:bookmarkStart w:id="430" w:name="Tc_mRapFuIXBk2Wlh0EvJ4ikA_21_8"/>
      <w:bookmarkStart w:id="431" w:name="Tc_Of3bJjF1-EOqFAOtWAZORQ_21_5"/>
      <w:bookmarkStart w:id="432" w:name="Tc_JGVeBgoBg0yoWSvj5H3xzg_21_2"/>
      <w:bookmarkStart w:id="433" w:name="Tc_tZJSKHG6qUyv89Ayy5jLOQ_21_0"/>
      <w:bookmarkStart w:id="434" w:name="Tc_OGgaw_URS0ikqsSxB5qCNg_20_14"/>
      <w:bookmarkStart w:id="435" w:name="Tc_YRK8_AMYm0GF6cby_QC9BQ_20_8"/>
      <w:bookmarkStart w:id="436" w:name="Tc_QQJpy_geOUO3pXYPHKPI6Q_20_5"/>
      <w:bookmarkStart w:id="437" w:name="Tc_YyONN2tCyUSwxSPtqk9JFw_20_2"/>
      <w:bookmarkStart w:id="438" w:name="Tc_rp8BrukeTEyRMq7d2HEHuw_20_0"/>
      <w:bookmarkStart w:id="439" w:name="Tc_KgE4OhTktU2cbuI-lyPTZg_19_14"/>
      <w:bookmarkStart w:id="440" w:name="Tc_sBvHZOBe6UKalDo86yq9zQ_19_11"/>
      <w:bookmarkStart w:id="441" w:name="Tc_JidF9UfUNU6WmD4IGiU1Yg_19_5"/>
      <w:bookmarkStart w:id="442" w:name="Tc_iX5ToWmTyE6HmYAXGjLxLw_19_2"/>
      <w:bookmarkStart w:id="443" w:name="Tc_s0MyEMExmEGLyr_3EzUD_w_19_0"/>
      <w:bookmarkStart w:id="444" w:name="Tc_Sf-totaMcUu_ISps8F_qkQ_18_17"/>
      <w:bookmarkStart w:id="445" w:name="Tc_5mNMsKPaWECMWPmmN7Pdww_18_11"/>
      <w:bookmarkStart w:id="446" w:name="Tc_Hw9he4fTPUa12HsVkpcdEQ_18_5"/>
      <w:bookmarkStart w:id="447" w:name="Tc_mwdhW4K88EysIlteyzmZ_w_18_0"/>
      <w:bookmarkStart w:id="448" w:name="Tc_n5mh1QrCMUi93vo0UEkfsA_17_11"/>
      <w:bookmarkStart w:id="449" w:name="Tc_JqHnw-t18kuq3m2_Zasing_17_8"/>
      <w:bookmarkStart w:id="450" w:name="Tc_dUplrPGXLUu2QyIHspyVSA_17_5"/>
      <w:bookmarkStart w:id="451" w:name="Tc_gSiIYkCCjEiAbTJ3PwCdsQ_17_2"/>
      <w:bookmarkStart w:id="452" w:name="Tc_4yBYMsq3JkayGYFFuyL9Ug_17_0"/>
      <w:bookmarkStart w:id="453" w:name="Tc_co5o6vN5_kOSjj4NF4RLTw_16_17"/>
      <w:bookmarkStart w:id="454" w:name="Tc_POJuQP8N2EajAiz-jKC_pw_16_14"/>
      <w:bookmarkStart w:id="455" w:name="Tc_OAWJf9L8aUS9rmloV86WVQ_16_11"/>
      <w:bookmarkStart w:id="456" w:name="Tc_PEPxASJTskGJuZgr6CppNg_16_8"/>
      <w:bookmarkStart w:id="457" w:name="Tc_l6fgnKRwtU6rTw1yBmSQmw_16_5"/>
      <w:bookmarkStart w:id="458" w:name="Tc_PqPRreSZokK6rJ-FIMBEcg_16_0"/>
      <w:bookmarkStart w:id="459" w:name="Tc_WcqfUhubu0q9YKrbEnsN0g_15_16"/>
      <w:bookmarkStart w:id="460" w:name="Tc_8NfFDdd64kai1Icw16gYKw_15_14"/>
      <w:bookmarkStart w:id="461" w:name="Tc_Z2-ryM3cC0aUjZD_oqH2bg_15_13"/>
      <w:bookmarkStart w:id="462" w:name="Tc_rwAQHnSIUkCuXYIID0JqYw_15_10"/>
      <w:bookmarkStart w:id="463" w:name="Tc_qiZ-z-xsiEC5ek5NlYPgbw_15_7"/>
      <w:bookmarkStart w:id="464" w:name="Tc_AwoeAOga_UuajMPzOMv3aA_15_4"/>
      <w:bookmarkStart w:id="465" w:name="Tc_Z3FcLi53qEKYJHMCUgIADA_15_0"/>
      <w:bookmarkStart w:id="466" w:name="Tc_cf8-vORzlECKVzwH_NWIUA_14_0"/>
      <w:bookmarkStart w:id="467" w:name="Tc_8G-e3nPQpkeALdOGLlk46w_12_16"/>
      <w:bookmarkStart w:id="468" w:name="Tc_fJ2_vZ3d_kqSeDCVHVeYwA_12_14"/>
      <w:bookmarkStart w:id="469" w:name="Tc_YJeX4bgIY0eBAk31bzxbig_12_13"/>
      <w:bookmarkStart w:id="470" w:name="Tc_Jia7A4ym-06B48Rv2C7cug_12_10"/>
      <w:bookmarkStart w:id="471" w:name="Tc_yWCuCJABiUqdHtjHeh8tDw_12_7"/>
      <w:bookmarkStart w:id="472" w:name="Tc_JllUBesVUkSh41cQWyMu5w_12_4"/>
      <w:bookmarkStart w:id="473" w:name="Tc_HCqAufKi80yXBM9e5Om9gw_12_0"/>
      <w:bookmarkStart w:id="474" w:name="Tc_lojLFjG7-0WYlCAJRjQnGA_11_14"/>
      <w:bookmarkStart w:id="475" w:name="Tc_jDUDk60NEUmCrTvp0WBKUg_11_8"/>
      <w:bookmarkStart w:id="476" w:name="Tc_70BdGdpIkUipoP6lKw06Ig_11_5"/>
      <w:bookmarkStart w:id="477" w:name="Tc_Nppi47oTIk6o2wd3GQtY1g_11_2"/>
      <w:bookmarkStart w:id="478" w:name="Tc_urt0sdXhWUeaFb19Qj_Tjw_11_0"/>
      <w:bookmarkStart w:id="479" w:name="Tc_Xl7wEfuwO0eo5oWDnHyQgw_10_14"/>
      <w:bookmarkStart w:id="480" w:name="Tc_2c256c4Tn0SAsLBDYDck4w_10_8"/>
      <w:bookmarkStart w:id="481" w:name="Tc_612ZIepAhkmNplgx8bMYKA_10_5"/>
      <w:bookmarkStart w:id="482" w:name="Tc_qCzCV7VIBUaUkU9QKK8xQA_10_2"/>
      <w:bookmarkStart w:id="483" w:name="Tc_K7R4ik_z1USj-VM7jYEljw_10_0"/>
      <w:bookmarkStart w:id="484" w:name="Tc_RiBmNaU_aEqO_BnAUP5t1g_9_14"/>
      <w:bookmarkStart w:id="485" w:name="Tc_W_mRiZ6qNkGFBk5din2F9Q_9_11"/>
      <w:bookmarkStart w:id="486" w:name="Tc_2-j4VjAmQkmClfUfaObL0Q_9_5"/>
      <w:bookmarkStart w:id="487" w:name="Tc__RyEczwDrEuRRPKAkFM1RA_9_2"/>
      <w:bookmarkStart w:id="488" w:name="Tc_V3f0vTvbkEy6jtl1OahG-Q_9_0"/>
      <w:bookmarkStart w:id="489" w:name="Tc__ZH1IqSPykCQXioY0bw7Ug_8_17"/>
      <w:bookmarkStart w:id="490" w:name="Tc_FAanGuZIbkuDOOqnGV0XJw_8_11"/>
      <w:bookmarkStart w:id="491" w:name="Tc_ELRSXZeixkWoH6kcTA6aBg_8_5"/>
      <w:bookmarkStart w:id="492" w:name="Tc_OaqaExMCFEqzsbpx5xNurw_8_0"/>
      <w:bookmarkStart w:id="493" w:name="Tc_ERcoo9AJ4UCLzONznv8O-A_7_11"/>
      <w:bookmarkStart w:id="494" w:name="Tc_OoYuYTkIs0yNPL52XFYpNg_7_8"/>
      <w:bookmarkStart w:id="495" w:name="Tc_FYGgUMbzl0OGWakUH_RIJg_7_5"/>
      <w:bookmarkStart w:id="496" w:name="Tc_8UuoCtP2XUSq6oCmEu49QA_7_2"/>
      <w:bookmarkStart w:id="497" w:name="Tc_r0ST4Hi3nUeZQU5VVMVTWQ_7_0"/>
      <w:bookmarkStart w:id="498" w:name="Tc_R173M-SsIECKaqdK15EjBQ_6_17"/>
      <w:bookmarkStart w:id="499" w:name="Tc_7d3j5DXmXEmSFtCm_fqsFw_6_14"/>
      <w:bookmarkStart w:id="500" w:name="Tc_eOtAI_ShL0SLyYraWOCh8w_6_11"/>
      <w:bookmarkStart w:id="501" w:name="Tc_tfSB5HfiHkaTgECD-T1bcQ_6_0"/>
      <w:bookmarkStart w:id="502" w:name="Tc_-ralvl9cbkClRsb2D2-MMQ_5_16"/>
      <w:bookmarkStart w:id="503" w:name="Tc_VUjXbDrOYUGIk4sNjc3ezg_5_14"/>
      <w:bookmarkStart w:id="504" w:name="Tc_XIMd08umjUS1gICPkahQ9g_5_13"/>
      <w:bookmarkStart w:id="505" w:name="Tc_nXk-54zh302mIfOdmipM9Q_5_10"/>
      <w:bookmarkStart w:id="506" w:name="Tc_-tiP1_6BoU6hjEuiIhf-TQ_5_7"/>
      <w:bookmarkStart w:id="507" w:name="Tc_pX9uPgWCtE2I0-8gfoNXhw_5_4"/>
      <w:bookmarkStart w:id="508" w:name="Tc_jK-P4LPytkuqyrWl8h3I5A_5_0"/>
      <w:bookmarkStart w:id="509" w:name="Tc_cW9OV14ScEWdL3I84qZ55w_4_0"/>
      <w:bookmarkStart w:id="510" w:name="Tc_8wGizsRkXU-5aTdoYe4Ggw_3_16"/>
      <w:bookmarkStart w:id="511" w:name="Tc_zEKmuqsBAkuayXuNnkuJoA_3_13"/>
      <w:bookmarkStart w:id="512" w:name="Tc_TYE4BWBYzUqIRM0etUIooQ_3_10"/>
      <w:bookmarkStart w:id="513" w:name="Tc__sQa3Zh260mx495mhKfd8Q_3_7"/>
      <w:bookmarkStart w:id="514" w:name="Tc_-85a9vtArUi73-2U5SDLvw_3_4"/>
      <w:bookmarkStart w:id="515" w:name="Tc_ChfomMoqJUGM1AMDbS-gog_3_2"/>
      <w:bookmarkStart w:id="516" w:name="Tc_nhGSb7uYZ0iQeHdlhPTgrA_2_16"/>
      <w:bookmarkStart w:id="517" w:name="Tc_xl5Cu9WM7k-yqqFFZPjZAg_2_13"/>
      <w:bookmarkStart w:id="518" w:name="Tc_cfE4ZU96s0-zQLm41aDGFw_2_10"/>
      <w:bookmarkStart w:id="519" w:name="Tc_NIZ08sC_eUWxSv-OiQP1ug_2_7"/>
      <w:bookmarkStart w:id="520" w:name="Tc_dDvkeWPDNk-PCWm0TzsHCg_2_2"/>
      <w:bookmarkStart w:id="521" w:name="Tc_tBSAZd8e8E-ig34WuWRmUA_1_16"/>
      <w:bookmarkStart w:id="522" w:name="Tc_r1FnwIUXe0WppeRc_r0QYQ_1_7"/>
      <w:bookmarkStart w:id="523" w:name="_06ea1a7d_4c1b_4643_b930_3fb3fce994fd"/>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tbl>
      <w:tblPr>
        <w:tblW w:w="10205" w:type="dxa"/>
        <w:jc w:val="left"/>
        <w:tblInd w:w="0" w:type="dxa"/>
        <w:tblLayout w:type="fixed"/>
        <w:tblCellMar>
          <w:top w:w="0" w:type="dxa"/>
          <w:left w:w="0" w:type="dxa"/>
          <w:bottom w:w="0" w:type="dxa"/>
          <w:right w:w="0" w:type="dxa"/>
        </w:tblCellMar>
      </w:tblPr>
      <w:tblGrid>
        <w:gridCol w:w="3413"/>
        <w:gridCol w:w="326"/>
        <w:gridCol w:w="601"/>
        <w:gridCol w:w="326"/>
        <w:gridCol w:w="247"/>
        <w:gridCol w:w="436"/>
        <w:gridCol w:w="326"/>
        <w:gridCol w:w="214"/>
        <w:gridCol w:w="657"/>
        <w:gridCol w:w="326"/>
        <w:gridCol w:w="196"/>
        <w:gridCol w:w="615"/>
        <w:gridCol w:w="326"/>
        <w:gridCol w:w="237"/>
        <w:gridCol w:w="529"/>
        <w:gridCol w:w="326"/>
        <w:gridCol w:w="238"/>
        <w:gridCol w:w="866"/>
      </w:tblGrid>
      <w:tr>
        <w:trPr/>
        <w:tc>
          <w:tcPr>
            <w:tcW w:w="3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67255" cy="175260"/>
                      <wp:effectExtent l="0" t="0" r="0" b="0"/>
                      <wp:wrapNone/>
                      <wp:docPr id="38" name="Frame37"/>
                      <a:graphic xmlns:a="http://schemas.openxmlformats.org/drawingml/2006/main">
                        <a:graphicData uri="http://schemas.microsoft.com/office/word/2010/wordprocessingShape">
                          <wps:wsp>
                            <wps:cNvSpPr txBox="1"/>
                            <wps:spPr>
                              <a:xfrm>
                                <a:off x="0" y="0"/>
                                <a:ext cx="2167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1635" cy="175260"/>
                      <wp:effectExtent l="0" t="0" r="0" b="0"/>
                      <wp:wrapNone/>
                      <wp:docPr id="40" name="Frame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6845" cy="175260"/>
                      <wp:effectExtent l="0" t="0" r="0" b="0"/>
                      <wp:wrapNone/>
                      <wp:docPr id="42" name="Frame4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76860" cy="175260"/>
                      <wp:effectExtent l="0" t="0" r="0" b="0"/>
                      <wp:wrapNone/>
                      <wp:docPr id="43" name="Frame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5890" cy="175260"/>
                      <wp:effectExtent l="0" t="0" r="0" b="0"/>
                      <wp:wrapNone/>
                      <wp:docPr id="45" name="Frame4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7195" cy="175260"/>
                      <wp:effectExtent l="0" t="0" r="0" b="0"/>
                      <wp:wrapNone/>
                      <wp:docPr id="46" name="Frame4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0525" cy="175260"/>
                      <wp:effectExtent l="0" t="0" r="0" b="0"/>
                      <wp:wrapNone/>
                      <wp:docPr id="49" name="Frame4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0495" cy="175260"/>
                      <wp:effectExtent l="0" t="0" r="0" b="0"/>
                      <wp:wrapNone/>
                      <wp:docPr id="51" name="Frame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35915" cy="175260"/>
                      <wp:effectExtent l="0" t="0" r="0" b="0"/>
                      <wp:wrapNone/>
                      <wp:docPr id="52" name="Frame51"/>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1130" cy="175260"/>
                      <wp:effectExtent l="0" t="0" r="0" b="0"/>
                      <wp:wrapNone/>
                      <wp:docPr id="54" name="Frame5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49910" cy="175260"/>
                      <wp:effectExtent l="0" t="0" r="0" b="0"/>
                      <wp:wrapNone/>
                      <wp:docPr id="55" name="Frame5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61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65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1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center"/>
              <w:rPr/>
            </w:pPr>
            <w:r>
              <w:rPr/>
              <w:t>​</w:t>
            </w:r>
          </w:p>
        </w:tc>
        <w:tc>
          <w:tcPr>
            <w:tcW w:w="52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center"/>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2024</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33,340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81,127</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(4,033)</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33,607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38,035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79,630</w:t>
            </w:r>
          </w:p>
        </w:tc>
      </w:tr>
      <w:tr>
        <w:trPr/>
        <w:tc>
          <w:tcPr>
            <w:tcW w:w="3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2023</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33,248</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51,963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92,094</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(4,013)</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33,440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49,424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89,922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24" w:name="_Hlk179297242"/>
      <w:bookmarkStart w:id="525" w:name="Note_to_Unaudited_Condensed"/>
      <w:bookmarkStart w:id="526" w:name="_Hlk117605630"/>
      <w:bookmarkStart w:id="527" w:name="Note1SummaryofSignificantEventsandAccoun"/>
      <w:bookmarkEnd w:id="524"/>
      <w:bookmarkEnd w:id="525"/>
      <w:bookmarkEnd w:id="526"/>
      <w:bookmarkEnd w:id="527"/>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interests in </w:t>
      </w:r>
      <w:r>
        <w:rPr>
          <w:rFonts w:ascii="Times New Roman;Times;serif" w:hAnsi="Times New Roman;Times;serif"/>
          <w:color w:val="333333"/>
          <w:sz w:val="20"/>
        </w:rPr>
        <w:t xml:space="preserve">the following areas: the SCOOP and STACK plays of the Anadarko Basin located in central Oklahoma; </w:t>
      </w:r>
      <w:r>
        <w:rPr>
          <w:rFonts w:ascii="Times New Roman;Times;serif" w:hAnsi="Times New Roman;Times;serif"/>
          <w:sz w:val="20"/>
        </w:rPr>
        <w:t xml:space="preserve">the Chaveroo oilfield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2024 Annual Report on Form 10-K for the fiscal year ended June 30, 2024, as filed with the SEC on September 11, 2024.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unaudited condensed consolidated financial statements include the 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is proactive with its third-party operators to review the management of capital expenditures.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Oil and Natural Gas Properties.</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28" w:name="_Hlk181869506"/>
      <w:bookmarkStart w:id="529" w:name="_Hlk179297254"/>
      <w:bookmarkStart w:id="530" w:name="_Hlk181868819"/>
      <w:bookmarkEnd w:id="528"/>
      <w:bookmarkEnd w:id="529"/>
      <w:bookmarkEnd w:id="530"/>
      <w:r>
        <w:rPr>
          <w:rFonts w:ascii="Times New Roman;Times;serif" w:hAnsi="Times New Roman;Times;serif"/>
          <w:sz w:val="20"/>
        </w:rPr>
        <w:t>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2024- 03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Improvements to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(“ASU 2023-07”). ASU 2023-07 expands the segment disclosures, even for entities with only one reportable segment, to include additional information about significant segment expenses and other segment items on an annual and interim basis as well as the title and position of the chief operating decision maker. ASU 2023-07 is effective for annual periods beginning after December 15, 2023, and interim periods within fiscal years beginning after December 15, 2024. Early adoption is permitted and entities must adopt the amendment retrospectively for all prior periods presented in the financial statements. The Company is currently evaluating ASU 2023-07 and the impact it may have to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Revenue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the SCOOP and STACK plays in central Oklahoma, t</w:t>
      </w:r>
      <w:r>
        <w:rPr>
          <w:rFonts w:ascii="Times New Roman;Times;serif" w:hAnsi="Times New Roman;Times;serif"/>
          <w:sz w:val="20"/>
        </w:rPr>
        <w:t xml:space="preserve">he Chaveroo oilfield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 xml:space="preserve">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31" w:name="Tc_meCjmDmbxEulMFXhM2P5uw_8_5"/>
      <w:bookmarkStart w:id="532" w:name="Tc_efxwUd5-7kaYaiIq55Uj9w_8_2"/>
      <w:bookmarkStart w:id="533" w:name="Tc_7gnslBR59UCLbERbTISRfQ_8_0"/>
      <w:bookmarkStart w:id="534" w:name="Tc_S5vJ5a-Cs0q1FcacW9OEPg_7_0"/>
      <w:bookmarkStart w:id="535" w:name="Tc_6N4pFzzZKkGaD8-CVfImyA_6_0"/>
      <w:bookmarkStart w:id="536" w:name="Tc_z0mOuhZDOUSLs4FZgCxiTA_5_5"/>
      <w:bookmarkStart w:id="537" w:name="Tc_Xs60cIbxwUqKnuoHFVL3kw_5_2"/>
      <w:bookmarkStart w:id="538" w:name="Tc_Q39-q-uurkOtwkzdRevEGw_5_0"/>
      <w:bookmarkStart w:id="539" w:name="Tc_8y-ZLmMsckynJR2Wz8aM4Q_4_0"/>
      <w:bookmarkStart w:id="540" w:name="Tc_RUFGE7g-f0qXM9Vdb332hg_3_5"/>
      <w:bookmarkStart w:id="541" w:name="Tc_HX6vMgX75kWIBnpRz3MSaQ_3_2"/>
      <w:bookmarkStart w:id="542" w:name="Tc_4NO-7be25UG6wy7EAFcA0w_2_2"/>
      <w:bookmarkStart w:id="543" w:name="Tc_GXy3El4fHEO1vXz1gCy1bA_1_2"/>
      <w:bookmarkStart w:id="544" w:name="_8e7fea18_aa70_49c8_9123_44c6a85de2d6"/>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rPr>
          <w:rFonts w:ascii="Times New Roman;Times;serif" w:hAnsi="Times New Roman;Times;serif"/>
          <w:sz w:val="20"/>
        </w:rPr>
        <w:t>disaggregates the Company’s revenues by major product for the three months ended September 30, 2024 and 2023 (in thousands):</w:t>
      </w:r>
    </w:p>
    <w:tbl>
      <w:tblPr>
        <w:tblW w:w="3590" w:type="dxa"/>
        <w:jc w:val="left"/>
        <w:tblInd w:w="0" w:type="dxa"/>
        <w:tblLayout w:type="fixed"/>
        <w:tblCellMar>
          <w:top w:w="0" w:type="dxa"/>
          <w:left w:w="0" w:type="dxa"/>
          <w:bottom w:w="0" w:type="dxa"/>
          <w:right w:w="0" w:type="dxa"/>
        </w:tblCellMar>
      </w:tblPr>
      <w:tblGrid>
        <w:gridCol w:w="1456"/>
        <w:gridCol w:w="109"/>
        <w:gridCol w:w="196"/>
        <w:gridCol w:w="601"/>
        <w:gridCol w:w="32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4560" cy="175260"/>
                      <wp:effectExtent l="0" t="0" r="0" b="0"/>
                      <wp:wrapNone/>
                      <wp:docPr id="56" name="Frame5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1635" cy="175260"/>
                      <wp:effectExtent l="0" t="0" r="0" b="0"/>
                      <wp:wrapNone/>
                      <wp:docPr id="59" name="Frame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48310" cy="175260"/>
                      <wp:effectExtent l="0" t="0" r="0" b="0"/>
                      <wp:wrapNone/>
                      <wp:docPr id="62" name="Frame6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14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5,552</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20,601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Acquisitions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taking into account customary closing adjustments and an effective date of November 1, 2023, total combined cash consideration for the SCOOP/STACK Acquisitions was approximately $39.1 million, which includes $43.9 million paid at closing less purchase price adjustments totaling approximately $4.8 million related to net cash flows received on the properties subsequent to closing. The Company accounted for these transactions as asset acquisitions and allocated all of the combined purchase price (including $0.3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acquired assets consist of an average net working interest of approximately 2.6%, in 260 producing wells in the SCOOP and STACK plays of the Anadarko Basin in Oklahoma.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Chaveroo Oilfield Participation Agreement</w:t>
      </w:r>
    </w:p>
    <w:p>
      <w:pPr>
        <w:pStyle w:val="TextBody"/>
        <w:shd w:fill="FFFFFF" w:val="clear"/>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12, 2023, the Company entered into a Participation Agreement with PEDEVCO for the joint development of a portion of PEDEVCO’s Permian Basin property in the Chaveroo oilfield, located in Chaves and Roosevelt Counties, New Mexico. In accordance with the Participation Agreement, the Company has the right, but not the obligation, to elect to participate and acquire a 50% working interest share in certain development blocks at a fixed price of $450 per net acre for up to a total of approximately 16,000 gross acres. The Participation Agreement does not include any of PEDEVCO’s existing vertical or horizontal wells.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September 30, 2024, the Company has incurred approximately $0.8 million in exchange for a 50% working interest share in the existing leases associated with five development blocks. As of September 30, 2024, the Company has participated in the drilling and completion of the first development block, consisting of three gross wells (1.5 net wells) and has committed to participate in the next four drilling locations during fiscal 2025. </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45" w:name="Tc_m4sjmpcIv0SohfSdVFzw-w_5_5"/>
      <w:bookmarkStart w:id="546" w:name="Tc_Wm1mytmiDkmBFPHhFlR9cA_5_2"/>
      <w:bookmarkStart w:id="547" w:name="Tc_LfM7ffiH5UybF4RAPb5svQ_5_0"/>
      <w:bookmarkStart w:id="548" w:name="Tc_VIzPwi17TE2TOBopElhyvg_4_0"/>
      <w:bookmarkStart w:id="549" w:name="Tc_0YZTB5b2a0mrFPiCMAcpLA_3_5"/>
      <w:bookmarkStart w:id="550" w:name="Tc_0F80aBhIokSOnS-OAySY2Q_3_2"/>
      <w:bookmarkStart w:id="551" w:name="Tc_dn6Mv2niOk-z9C7aKChkBg_3_0"/>
      <w:bookmarkStart w:id="552" w:name="Tc_qXnQFZPgY0Kh7obVKyXh4w_2_0"/>
      <w:bookmarkStart w:id="553" w:name="Tc_QhRgwwSO_U6HAJ6cz2egbA_1_5"/>
      <w:bookmarkStart w:id="554" w:name="Tc_Zh-fAlWz4kO46x-kQIKclw_1_2"/>
      <w:bookmarkStart w:id="555" w:name="_bb6f76be_405b_431f_a9f2_efc06cd04540"/>
      <w:bookmarkEnd w:id="545"/>
      <w:bookmarkEnd w:id="546"/>
      <w:bookmarkEnd w:id="547"/>
      <w:bookmarkEnd w:id="548"/>
      <w:bookmarkEnd w:id="549"/>
      <w:bookmarkEnd w:id="550"/>
      <w:bookmarkEnd w:id="551"/>
      <w:bookmarkEnd w:id="552"/>
      <w:bookmarkEnd w:id="553"/>
      <w:bookmarkEnd w:id="554"/>
      <w:bookmarkEnd w:id="555"/>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September 30, 2024 and June 30, 2024 consisted of the following (in thousands):</w:t>
      </w:r>
    </w:p>
    <w:p>
      <w:pPr>
        <w:pStyle w:val="TextBody"/>
        <w:bidi w:val="0"/>
        <w:spacing w:before="0" w:after="240"/>
        <w:ind w:left="0" w:right="0" w:hanging="0"/>
        <w:jc w:val="left"/>
        <w:rPr/>
      </w:pPr>
      <w:r>
        <w:rPr/>
        <w:t>​</w:t>
      </w:r>
    </w:p>
    <w:tbl>
      <w:tblPr>
        <w:tblW w:w="7750" w:type="dxa"/>
        <w:jc w:val="left"/>
        <w:tblInd w:w="0" w:type="dxa"/>
        <w:tblLayout w:type="fixed"/>
        <w:tblCellMar>
          <w:top w:w="0" w:type="dxa"/>
          <w:left w:w="0" w:type="dxa"/>
          <w:bottom w:w="0" w:type="dxa"/>
          <w:right w:w="0" w:type="dxa"/>
        </w:tblCellMar>
      </w:tblPr>
      <w:tblGrid>
        <w:gridCol w:w="4291"/>
        <w:gridCol w:w="326"/>
        <w:gridCol w:w="332"/>
        <w:gridCol w:w="1274"/>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24785" cy="175260"/>
                      <wp:effectExtent l="0" t="0" r="0" b="0"/>
                      <wp:wrapNone/>
                      <wp:docPr id="63" name="Frame62"/>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820" cy="175260"/>
                      <wp:effectExtent l="0" t="0" r="0" b="0"/>
                      <wp:wrapNone/>
                      <wp:docPr id="65" name="Frame6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08990" cy="175260"/>
                      <wp:effectExtent l="0" t="0" r="0" b="0"/>
                      <wp:wrapNone/>
                      <wp:docPr id="66" name="Frame65"/>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0495" cy="175260"/>
                      <wp:effectExtent l="0" t="0" r="0" b="0"/>
                      <wp:wrapNone/>
                      <wp:docPr id="68"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2140" cy="175260"/>
                      <wp:effectExtent l="0" t="0" r="0" b="0"/>
                      <wp:wrapNone/>
                      <wp:docPr id="69" name="Frame6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1274"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250,676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(115,199)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vAlign w:val="center"/>
          </w:tcPr>
          <w:p>
            <w:pPr>
              <w:pStyle w:val="TableContents"/>
              <w:bidi w:val="0"/>
              <w:spacing w:before="0" w:after="1"/>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135,477</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139,685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on oil and natural gas properties was $5.3 million and $3.9 million for the three months ended September 30, 2024 and 2023, respectively. During the three months ended September 30, 2024 and 2023, the Company incurred development capital expenditures of $1.0 million and $1.5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2024, the ceiling test value of the Company’s reserves was calculated based on the first-day-of-the-month average for the 12-months ended September 30, 2024 of the West Texas Intermediate (“WTI”) crude oil spot price of $79.40 per barrel and Henry Hub natural gas spot price of $2.21 per MMBtu, adjusted by market differentials by field. The net price per barrel of NGLs was $23.63, which was based on historical differentials to WTI as NGLs do not have any single comparable reference index price. Using these prices, at September 30, 2024 the cost center ceiling was higher than the capitalized costs of oil and natural gas properties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September 30, 2023, the ceiling test value of the Company’s reserves was calculated based on the first-day-of the month average for the 12-months ended September 30, 2023 of the WTI crude oil spot price of $78.53 per barrel and Henry Hub natural gas spot price of $3.43 per MMBtu, adjusted by market differentials by field. The net price per barrel of NGLs was $31.76, which was based on historical prices received as NGLs do not have any single comparable reference index price. Using these prices, at September 30, 2023 the cost center ceiling was higher than the capitalized costs of oil and natural gas properties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11, 2016, the Company entered into a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w:t>
      </w:r>
      <w:r>
        <w:rPr>
          <w:rFonts w:ascii="Times New Roman;Times;serif" w:hAnsi="Times New Roman;Times;serif"/>
          <w:sz w:val="20"/>
          <w:shd w:fill="FFFFFF" w:val="clear"/>
        </w:rPr>
        <w:t>Secured Overnight Financing Rate (“SOFR”) plus a credit spread adjustment of 0.05% to effectively convert SOFR to a LIBOR equivalent and modifies the Margined Collateral Value, as defined in the Ninth Amendment to the Senior Secured Credit Facility, to $95.0 million.</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subject to a minimum SOFR of 0.50%, or the Prime Rate, as defined under the Senior Secured Credit Facility, plus 1.00%</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September 30, 2024, the Company had $39.5 million borrowings outstanding under its Senior Secured Credit Facility, resulting in $10.5 million of available borrowing capacity. </w:t>
      </w:r>
      <w:r>
        <w:rPr>
          <w:rFonts w:ascii="Times New Roman;Times;serif" w:hAnsi="Times New Roman;Times;serif"/>
          <w:sz w:val="20"/>
          <w:shd w:fill="FFFFFF" w:val="clear"/>
        </w:rPr>
        <w:t xml:space="preserve">For the three months ended September 30, 2024,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56" w:name="_Hlk165470770"/>
      <w:bookmarkEnd w:id="556"/>
      <w:r>
        <w:rPr>
          <w:rFonts w:ascii="Times New Roman;Times;serif" w:hAnsi="Times New Roman;Times;serif"/>
          <w:sz w:val="20"/>
          <w:shd w:fill="FFFFFF" w:val="clear"/>
        </w:rPr>
        <w:t>weighted average interest on borrowings under the Senior Secured Credit Facility was 8.09%. </w:t>
      </w:r>
      <w:r>
        <w:rPr>
          <w:rFonts w:ascii="Times New Roman;Times;serif" w:hAnsi="Times New Roman;Times;serif"/>
          <w:sz w:val="20"/>
        </w:rPr>
        <w:t>As of September 30, 2024, the Company is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Credit Agreement also contains hedging requirements that apply when there is 25% or more utilization of the Margined Collateral Value, as defined above, to the extent it exceeds the borrowing base then in effect. On February 12, 2024, the Company entered into an amendment to the Senior Secured Credit Facility. This amendment required that the Company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Thus, the Company has the option to choose whether to hedge 40% of expected crude oil production or 25% each of expected crude oil and natural gas production. See Note 7, “</w:t>
      </w:r>
      <w:r>
        <w:rPr>
          <w:rFonts w:ascii="Times New Roman;Times;serif" w:hAnsi="Times New Roman;Times;serif"/>
          <w:i/>
          <w:sz w:val="20"/>
        </w:rPr>
        <w:t>Derivatives,</w:t>
      </w:r>
      <w:r>
        <w:rPr>
          <w:rFonts w:ascii="Times New Roman;Times;serif" w:hAnsi="Times New Roman;Times;serif"/>
          <w:sz w:val="20"/>
        </w:rPr>
        <w:t xml:space="preserve">” for information regarding the Company’s current derivative positions. </w:t>
      </w:r>
    </w:p>
    <w:p>
      <w:pPr>
        <w:pStyle w:val="TextBody"/>
        <w:bidi w:val="0"/>
        <w:spacing w:before="0" w:after="240"/>
        <w:ind w:left="0" w:right="0" w:hanging="0"/>
        <w:jc w:val="left"/>
        <w:rPr>
          <w:rFonts w:ascii="Times New Roman;Times;serif" w:hAnsi="Times New Roman;Times;serif"/>
          <w:b/>
          <w:sz w:val="20"/>
        </w:rPr>
      </w:pPr>
      <w:bookmarkStart w:id="557" w:name="_Hlk134092921"/>
      <w:bookmarkEnd w:id="557"/>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2023 for federal tax purposes and for the fiscal years ended June 30, 2019 through June 30, 2023 for state tax purposes. To the extent the Company utilizes net operating losses (“NOLs”) generated in earlier years, such earlier years may also be subject to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three months ended September 30, 2024, the Company recognized income tax expense of $0.8 million and had an effective tax rate of 28.4% compared to income tax expense of $0.5 million and an effective tax rate of 23.9% for the three months ended September 30, 2023.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Oklahoma, North Dakota and Texas, percentage depletion in excess of basis,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September 30, 2024, the Company did not post collateral under any of its derivative contracts during the periods in which contracts were open as they were secured under the Company’s Senior Secured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58" w:name="Tc_r2WR1r0-nE6mrQ1I2U-y2w_7_8"/>
      <w:bookmarkStart w:id="559" w:name="Tc_h59VM-FivUiNpkXMTBHn9A_7_7"/>
      <w:bookmarkStart w:id="560" w:name="Tc_jkZhjhi_AEqiDq6y15whxA_7_4"/>
      <w:bookmarkStart w:id="561" w:name="Tc_vPm4NGVZnkKpEyQJNyHQ9g_7_0"/>
      <w:bookmarkStart w:id="562" w:name="Tc_IWNUWSpNekSQabpSCfxeFw_6_8"/>
      <w:bookmarkStart w:id="563" w:name="Tc_C4Xm4tRYO0WVN8Z6I16B7Q_6_2"/>
      <w:bookmarkStart w:id="564" w:name="Tc_Y_-lIbR8ckmdtn1BWqMgUQ_6_0"/>
      <w:bookmarkStart w:id="565" w:name="Tc_t5Z4zfvp50mvjqC4nh84XQ_5_8"/>
      <w:bookmarkStart w:id="566" w:name="Tc_CkYGPclUqUKrqfG3yFCL9g_5_7"/>
      <w:bookmarkStart w:id="567" w:name="Tc_E8fLc9seLEyGjAGmIowt-Q_5_4"/>
      <w:bookmarkStart w:id="568" w:name="Tc_yB6-9CDUA0-KNUZhdzuhvw_5_2"/>
      <w:bookmarkStart w:id="569" w:name="Tc_fOqFZdRTGUWjMG4mvlPBuQ_5_0"/>
      <w:bookmarkStart w:id="570" w:name="Tc_yXKWbnBpBEul0MV7Od5MRA_4_0"/>
      <w:bookmarkStart w:id="571" w:name="Tc_I1iem7SDHE2EVfa41xrQ2w_3_7"/>
      <w:bookmarkStart w:id="572" w:name="Tc_vPIb2QuiV0KuCbUrXJ97vg_3_4"/>
      <w:bookmarkStart w:id="573" w:name="Tc_R0s-QiDeqk-_hbXg7O__vA_3_2"/>
      <w:bookmarkStart w:id="574" w:name="Tc_BikstzeHYUGgALsLS8QkVQ_3_0"/>
      <w:bookmarkStart w:id="575" w:name="Tc_Xc6Lb8KE2EmwKksbBvh-Qg_2_4"/>
      <w:bookmarkStart w:id="576" w:name="Tc_2fGONYvQ3E-8JL8VmYmvCw_2_2"/>
      <w:bookmarkStart w:id="577" w:name="Tc_gfIwfLbk9USWiXZPW5YRSg_2_0"/>
      <w:bookmarkStart w:id="578" w:name="Tc_Rl-JE0nA00GXJtujZVdGJA_1_4"/>
      <w:bookmarkStart w:id="579" w:name="Tc_uAN00UvAx0uxuljzfrQQNA_1_2"/>
      <w:bookmarkStart w:id="580" w:name="Tc_YppswtxvVUulnVFpVhqx2Q_1_0"/>
      <w:bookmarkStart w:id="581" w:name="_9d6eb02c_4362_4afa_9b80_7d5a6a691dc6"/>
      <w:bookmarkStart w:id="582" w:name="Tc_b97Y0VLSi0uXuFCDYFX1Vw_6_15"/>
      <w:bookmarkStart w:id="583" w:name="Tc_gbMDHIAD2kGfFGMVYUBD_w_6_12"/>
      <w:bookmarkStart w:id="584" w:name="Tc_9wVSuttgIUaWEFXZGV0Rsg_6_7"/>
      <w:bookmarkStart w:id="585" w:name="Tc_ZKAjdnorD06P90bniuYP-g_6_4"/>
      <w:bookmarkStart w:id="586" w:name="Tc_ygeDQx_hsEiYTs8w7t8ojQ_6_0"/>
      <w:bookmarkStart w:id="587" w:name="Tc_Y2TN9a7YIU-gBRLvh7x8oQ_5_10"/>
      <w:bookmarkStart w:id="588" w:name="Tc_67Sy5MUUlUOjVF1F2DN4RQ_5_2"/>
      <w:bookmarkStart w:id="589" w:name="Tc_wfwXBhTzCkKYrVmpztFdug_5_0"/>
      <w:bookmarkStart w:id="590" w:name="Tc_pNcfCva3xkienj79v6bWnQ_4_15"/>
      <w:bookmarkStart w:id="591" w:name="Tc_PYNA52otokaV7pNuWaIlxA_4_12"/>
      <w:bookmarkStart w:id="592" w:name="Tc_PdFoS5sO7ka69LtQja__AQ_4_7"/>
      <w:bookmarkStart w:id="593" w:name="Tc_0jDhB3BnrESSAkLIYnTwmg_4_4"/>
      <w:bookmarkStart w:id="594" w:name="Tc_CJvyWlRXhE-F1bweFrNDnw_4_0"/>
      <w:bookmarkStart w:id="595" w:name="Tc_jXF9MrLLg0a7rNvwoKGe5w_3_15"/>
      <w:bookmarkStart w:id="596" w:name="Tc_r-6IFNpsyk6Xc5dbLKrB9A_3_12"/>
      <w:bookmarkStart w:id="597" w:name="Tc_87qCN_CtEk6u_D08vqsC0w_3_10"/>
      <w:bookmarkStart w:id="598" w:name="Tc_gqMX0kIVTEqXTDxWL-HJxA_3_7"/>
      <w:bookmarkStart w:id="599" w:name="Tc_KCzdDvKSVU2p-YC8AOPDWA_3_4"/>
      <w:bookmarkStart w:id="600" w:name="Tc_ZMa28S0sYU66Y_Yn6KXmDA_3_2"/>
      <w:bookmarkStart w:id="601" w:name="Tc_LK-SDTk1r0G52i9NLoeILA_3_0"/>
      <w:bookmarkStart w:id="602" w:name="Tc_dlOBH-AnKEC_4LeJ8iau5g_2_12"/>
      <w:bookmarkStart w:id="603" w:name="Tc_LItlCLC3lUeGWBySY61eBw_2_10"/>
      <w:bookmarkStart w:id="604" w:name="Tc_Naak6VIXy0CudBHCALdXBQ_2_4"/>
      <w:bookmarkStart w:id="605" w:name="Tc_wR5ps-ap0E-RV5j1GVKudA_2_2"/>
      <w:bookmarkStart w:id="606" w:name="Tc_-XHZtjxbTEa4fjVrX7qacQ_2_0"/>
      <w:bookmarkStart w:id="607" w:name="Tc_HWXXRcppS0ughgwLPz0GvQ_1_0"/>
      <w:bookmarkStart w:id="608" w:name="_88f33886_f2f0_4dc5_84fb_944f1b6536f6"/>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Times New Roman;Times;serif" w:hAnsi="Times New Roman;Times;serif"/>
          <w:sz w:val="20"/>
        </w:rPr>
        <w:t>When the Company utilizes commodity derivative contracts, it expects to enter into deferred premium puts, costless put/call collars and/or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w:t>
      </w:r>
      <w:r>
        <w:rPr>
          <w:rFonts w:ascii="Times New Roman;Times;serif" w:hAnsi="Times New Roman;Times;serif"/>
          <w:sz w:val="20"/>
          <w:shd w:fill="FFFFFF" w:val="clear"/>
        </w:rPr>
        <w:t xml:space="preserve"> and included in the unaudited condensed consolidated balance sheets as assets or liabilities. The “</w:t>
      </w:r>
      <w:r>
        <w:rPr>
          <w:rFonts w:ascii="Times New Roman;Times;serif" w:hAnsi="Times New Roman;Times;serif"/>
          <w:i/>
          <w:sz w:val="20"/>
          <w:shd w:fill="FFFFFF" w:val="clear"/>
        </w:rPr>
        <w:t>Derivative contract assets”</w:t>
      </w:r>
      <w:r>
        <w:rPr>
          <w:rFonts w:ascii="Times New Roman;Times;serif" w:hAnsi="Times New Roman;Times;serif"/>
          <w:sz w:val="20"/>
          <w:shd w:fill="FFFFFF" w:val="clear"/>
        </w:rPr>
        <w:t> and “</w:t>
      </w:r>
      <w:r>
        <w:rPr>
          <w:rFonts w:ascii="Times New Roman;Times;serif" w:hAnsi="Times New Roman;Times;serif"/>
          <w:i/>
          <w:sz w:val="20"/>
          <w:shd w:fill="FFFFFF" w:val="clear"/>
        </w:rPr>
        <w:t>Derivative contract liabilities”</w:t>
      </w:r>
      <w:r>
        <w:rPr>
          <w:rFonts w:ascii="Times New Roman;Times;serif" w:hAnsi="Times New Roman;Times;serif"/>
          <w:sz w:val="20"/>
          <w:shd w:fill="FFFFFF" w:val="clear"/>
        </w:rPr>
        <w:t> represent the difference between the market commodity prices and the hedged prices for the remaining volumes of production hedges as of September 30, 2024 (the “mark-to-market valuation”).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following table summarizes the location and fair value amounts of all derivative contracts in the unaudited condensed consolidated balance sheets as of September 30, 2024 and June 30, 2024 (in thousands):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995"/>
        <w:gridCol w:w="326"/>
        <w:gridCol w:w="926"/>
        <w:gridCol w:w="326"/>
        <w:gridCol w:w="428"/>
        <w:gridCol w:w="1118"/>
        <w:gridCol w:w="327"/>
        <w:gridCol w:w="385"/>
        <w:gridCol w:w="741"/>
        <w:gridCol w:w="326"/>
        <w:gridCol w:w="935"/>
        <w:gridCol w:w="326"/>
        <w:gridCol w:w="529"/>
        <w:gridCol w:w="1017"/>
        <w:gridCol w:w="327"/>
        <w:gridCol w:w="282"/>
        <w:gridCol w:w="891"/>
      </w:tblGrid>
      <w:tr>
        <w:trPr/>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1825" cy="175260"/>
                      <wp:effectExtent l="0" t="0" r="0" b="0"/>
                      <wp:wrapNone/>
                      <wp:docPr id="70" name="Frame69"/>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88010" cy="175260"/>
                      <wp:effectExtent l="0" t="0" r="0" b="0"/>
                      <wp:wrapNone/>
                      <wp:docPr id="72" name="Frame71"/>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71780" cy="175260"/>
                      <wp:effectExtent l="0" t="0" r="0" b="0"/>
                      <wp:wrapNone/>
                      <wp:docPr id="74" name="Frame73"/>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09930" cy="175260"/>
                      <wp:effectExtent l="0" t="0" r="0" b="0"/>
                      <wp:wrapNone/>
                      <wp:docPr id="75" name="Frame74"/>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645" cy="175260"/>
                      <wp:effectExtent l="0" t="0" r="0" b="0"/>
                      <wp:wrapNone/>
                      <wp:docPr id="76" name="Frame7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4475" cy="175260"/>
                      <wp:effectExtent l="0" t="0" r="0" b="0"/>
                      <wp:wrapNone/>
                      <wp:docPr id="77" name="Frame7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70535" cy="175260"/>
                      <wp:effectExtent l="0" t="0" r="0" b="0"/>
                      <wp:wrapNone/>
                      <wp:docPr id="78" name="Frame77"/>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3725" cy="175260"/>
                      <wp:effectExtent l="0" t="0" r="0" b="0"/>
                      <wp:wrapNone/>
                      <wp:docPr id="80" name="Frame79"/>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35915" cy="175260"/>
                      <wp:effectExtent l="0" t="0" r="0" b="0"/>
                      <wp:wrapNone/>
                      <wp:docPr id="82" name="Frame81"/>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5795" cy="175260"/>
                      <wp:effectExtent l="0" t="0" r="0" b="0"/>
                      <wp:wrapNone/>
                      <wp:docPr id="83" name="Frame82"/>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645" cy="175260"/>
                      <wp:effectExtent l="0" t="0" r="0" b="0"/>
                      <wp:wrapNone/>
                      <wp:docPr id="84" name="Frame8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070" cy="175260"/>
                      <wp:effectExtent l="0" t="0" r="0" b="0"/>
                      <wp:wrapNone/>
                      <wp:docPr id="85" name="Frame8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5785" cy="175260"/>
                      <wp:effectExtent l="0" t="0" r="0" b="0"/>
                      <wp:wrapNone/>
                      <wp:docPr id="86" name="Frame85"/>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999" w:type="dxa"/>
            <w:gridSpan w:val="5"/>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046" w:type="dxa"/>
            <w:gridSpan w:val="5"/>
            <w:tcBorders/>
            <w:vAlign w:val="center"/>
          </w:tcPr>
          <w:p>
            <w:pPr>
              <w:pStyle w:val="TableContents"/>
              <w:bidi w:val="0"/>
              <w:spacing w:before="0" w:after="1"/>
              <w:ind w:left="0" w:right="0" w:hanging="0"/>
              <w:jc w:val="center"/>
              <w:rPr/>
            </w:pPr>
            <w:r>
              <w:rPr/>
              <w:t>​</w:t>
            </w:r>
          </w:p>
        </w:tc>
      </w:tr>
      <w:tr>
        <w:trPr/>
        <w:tc>
          <w:tcPr>
            <w:tcW w:w="99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29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30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99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1"/>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7"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7" w:type="dxa"/>
            <w:tcBorders/>
            <w:vAlign w:val="center"/>
          </w:tcPr>
          <w:p>
            <w:pPr>
              <w:pStyle w:val="TableContents"/>
              <w:bidi w:val="0"/>
              <w:spacing w:before="0" w:after="1"/>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99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assets - 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1,253</w:t>
            </w:r>
          </w:p>
        </w:tc>
        <w:tc>
          <w:tcPr>
            <w:tcW w:w="327"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w:t>
            </w:r>
          </w:p>
        </w:tc>
        <w:tc>
          <w:tcPr>
            <w:tcW w:w="326" w:type="dxa"/>
            <w:tcBorders/>
            <w:shd w:fill="CCEEFF" w:val="clear"/>
            <w:vAlign w:val="center"/>
          </w:tcPr>
          <w:p>
            <w:pPr>
              <w:pStyle w:val="TableContents"/>
              <w:bidi w:val="0"/>
              <w:spacing w:before="0" w:after="1"/>
              <w:ind w:left="0" w:right="0" w:hanging="0"/>
              <w:jc w:val="left"/>
              <w:rPr/>
            </w:pPr>
            <w:r>
              <w:rPr/>
              <w:t>​</w:t>
            </w:r>
          </w:p>
        </w:tc>
        <w:tc>
          <w:tcPr>
            <w:tcW w:w="935"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liabilities - 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w:t>
            </w:r>
          </w:p>
        </w:tc>
        <w:tc>
          <w:tcPr>
            <w:tcW w:w="327"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w:t>
            </w:r>
          </w:p>
        </w:tc>
      </w:tr>
      <w:tr>
        <w:trPr/>
        <w:tc>
          <w:tcPr>
            <w:tcW w:w="99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 - derivative contract assets</w:t>
            </w:r>
          </w:p>
        </w:tc>
        <w:tc>
          <w:tcPr>
            <w:tcW w:w="326" w:type="dxa"/>
            <w:tcBorders/>
            <w:vAlign w:val="center"/>
          </w:tcPr>
          <w:p>
            <w:pPr>
              <w:pStyle w:val="TableContents"/>
              <w:bidi w:val="0"/>
              <w:spacing w:before="0" w:after="1"/>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w:t>
            </w:r>
          </w:p>
        </w:tc>
        <w:tc>
          <w:tcPr>
            <w:tcW w:w="327" w:type="dxa"/>
            <w:tcBorders/>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26"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26" w:type="dxa"/>
            <w:tcBorders/>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w:t>
            </w:r>
          </w:p>
        </w:tc>
        <w:tc>
          <w:tcPr>
            <w:tcW w:w="327"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w:t>
            </w:r>
          </w:p>
        </w:tc>
      </w:tr>
      <w:tr>
        <w:trPr/>
        <w:tc>
          <w:tcPr>
            <w:tcW w:w="99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26"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w:t>
            </w:r>
          </w:p>
        </w:tc>
        <w:tc>
          <w:tcPr>
            <w:tcW w:w="327" w:type="dxa"/>
            <w:tcBorders/>
            <w:shd w:fill="CCEEFF" w:val="clear"/>
            <w:vAlign w:val="center"/>
          </w:tcPr>
          <w:p>
            <w:pPr>
              <w:pStyle w:val="TableContents"/>
              <w:bidi w:val="0"/>
              <w:spacing w:before="0" w:after="1"/>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9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w:t>
            </w:r>
          </w:p>
        </w:tc>
        <w:tc>
          <w:tcPr>
            <w:tcW w:w="327"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1,660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unaudited condensed consolidated statements of operations for the three months ended September 30, 2024 and 2023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127" w:type="dxa"/>
        <w:jc w:val="left"/>
        <w:tblInd w:w="0" w:type="dxa"/>
        <w:tblLayout w:type="fixed"/>
        <w:tblCellMar>
          <w:top w:w="0" w:type="dxa"/>
          <w:left w:w="0" w:type="dxa"/>
          <w:bottom w:w="0" w:type="dxa"/>
          <w:right w:w="0" w:type="dxa"/>
        </w:tblCellMar>
      </w:tblPr>
      <w:tblGrid>
        <w:gridCol w:w="3256"/>
        <w:gridCol w:w="326"/>
        <w:gridCol w:w="4756"/>
        <w:gridCol w:w="109"/>
        <w:gridCol w:w="196"/>
        <w:gridCol w:w="511"/>
        <w:gridCol w:w="326"/>
        <w:gridCol w:w="196"/>
        <w:gridCol w:w="45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67560" cy="175260"/>
                      <wp:effectExtent l="0" t="0" r="0" b="0"/>
                      <wp:wrapNone/>
                      <wp:docPr id="87" name="Frame8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20060" cy="175260"/>
                      <wp:effectExtent l="0" t="0" r="0" b="0"/>
                      <wp:wrapNone/>
                      <wp:docPr id="89" name="Frame88"/>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24485" cy="175260"/>
                      <wp:effectExtent l="0" t="0" r="0" b="0"/>
                      <wp:wrapNone/>
                      <wp:docPr id="92" name="Frame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86385" cy="175260"/>
                      <wp:effectExtent l="0" t="0" r="0" b="0"/>
                      <wp:wrapNone/>
                      <wp:docPr id="95" name="Frame9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vAlign w:val="center"/>
          </w:tcPr>
          <w:p>
            <w:pPr>
              <w:pStyle w:val="TableContents"/>
              <w:bidi w:val="0"/>
              <w:spacing w:before="0" w:after="0"/>
              <w:ind w:left="0" w:right="0" w:hanging="0"/>
              <w:jc w:val="left"/>
              <w:rPr/>
            </w:pPr>
            <w:r>
              <w:rPr/>
              <w:t>​</w:t>
            </w:r>
          </w:p>
        </w:tc>
        <w:tc>
          <w:tcPr>
            <w:tcW w:w="16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vAlign w:val="center"/>
          </w:tcPr>
          <w:p>
            <w:pPr>
              <w:pStyle w:val="TableContents"/>
              <w:bidi w:val="0"/>
              <w:spacing w:before="0" w:after="0"/>
              <w:ind w:left="0" w:right="0" w:hanging="0"/>
              <w:jc w:val="left"/>
              <w:rPr/>
            </w:pPr>
            <w:r>
              <w:rPr/>
              <w:t>​</w:t>
            </w:r>
          </w:p>
        </w:tc>
        <w:tc>
          <w:tcPr>
            <w:tcW w:w="16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0"/>
              <w:ind w:left="0" w:right="0" w:hanging="0"/>
              <w:jc w:val="left"/>
              <w:rPr/>
            </w:pPr>
            <w:r>
              <w:rPr/>
              <w:t>    </w:t>
            </w:r>
          </w:p>
        </w:tc>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0"/>
              <w:ind w:left="0" w:right="0" w:hanging="0"/>
              <w:jc w:val="left"/>
              <w:rPr/>
            </w:pPr>
            <w:r>
              <w:rPr/>
              <w:t>​</w:t>
            </w:r>
          </w:p>
        </w:tc>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7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09" w:name="Tc_bradt11m3EiSJCCJfraLeA_5_11"/>
      <w:bookmarkStart w:id="610" w:name="Tc_Twne8PS300ug2jgj2pIcMA_5_8"/>
      <w:bookmarkStart w:id="611" w:name="Tc_IyWxa_7Tb0CoeInIhLt6Fg_5_5"/>
      <w:bookmarkStart w:id="612" w:name="Tc_kzMSJBLwVkKy411FUTIn3A_5_2"/>
      <w:bookmarkStart w:id="613" w:name="Tc_g2vm-WcqlEKyfZ9uxx3TiQ_5_0"/>
      <w:bookmarkStart w:id="614" w:name="Tc_r8-eDyyIJUCWK37TkKnVuw_4_0"/>
      <w:bookmarkStart w:id="615" w:name="Tc_MPAhZpRqRk-7JdgSOuvcaw_3_11"/>
      <w:bookmarkStart w:id="616" w:name="Tc_yteAOPZrN0Sqd4ayVopMZw_3_8"/>
      <w:bookmarkStart w:id="617" w:name="Tc_H-HGJpiFd0WaSmMYf3__pw_3_5"/>
      <w:bookmarkStart w:id="618" w:name="Tc_-E-MNRRXoUuaGsQ2UBAwHQ_3_2"/>
      <w:bookmarkStart w:id="619" w:name="Tc_xiyqoj4p8UGeCPBui-VTGg_3_0"/>
      <w:bookmarkStart w:id="620" w:name="Tc_1J6YkLY-M06N6b5RUe9HMQ_2_11"/>
      <w:bookmarkStart w:id="621" w:name="Tc_X1wAD7pQ7Ey-DEZevAEmHw_2_8"/>
      <w:bookmarkStart w:id="622" w:name="Tc_Hn_AnJsV1E6OkRxM6faChQ_2_5"/>
      <w:bookmarkStart w:id="623" w:name="Tc_mn2Hto6eZkSQRiIJ9G_wzQ_2_2"/>
      <w:bookmarkStart w:id="624" w:name="Tc_J-YseOdfKEilgHHTgE5L7w_2_0"/>
      <w:bookmarkStart w:id="625" w:name="Tc_umX8l9lQmECUHwigd_Wm5Q_1_8"/>
      <w:bookmarkStart w:id="626" w:name="Tc_STEwsZnYuk-MOgNuEbmQFA_1_2"/>
      <w:bookmarkStart w:id="627" w:name="Tc_83Hijb4cN0OCza7_tTMXSA_5_4"/>
      <w:bookmarkStart w:id="628" w:name="Tc_XeGQXSEpfE--M0OqAXPXmA_5_2"/>
      <w:bookmarkStart w:id="629" w:name="Tc_PLou-d9dS0yR5rSKhXA0bg_5_0"/>
      <w:bookmarkStart w:id="630" w:name="Tc_h40Twz_1NkKoTkpHC-P2QA_4_8"/>
      <w:bookmarkStart w:id="631" w:name="Tc_ojMrEB_aGEqqz3aJ4e5l1g_4_4"/>
      <w:bookmarkStart w:id="632" w:name="Tc_NKCUZlpIIUmcu0K_PuIUag_4_2"/>
      <w:bookmarkStart w:id="633" w:name="Tc_qhkSiR4-W0u9ZVQjxEjaRg_4_0"/>
      <w:bookmarkStart w:id="634" w:name="Tc_jGJzto6-GEqTAf4lEcXyGA_3_8"/>
      <w:bookmarkStart w:id="635" w:name="Tc_wXjI5k-0CESTIYJFl-yxzg_3_6"/>
      <w:bookmarkStart w:id="636" w:name="Tc_SHHUVdC6IUCtcPgTklUqUA_3_4"/>
      <w:bookmarkStart w:id="637" w:name="Tc_F9GQH-rbUE6rEzu_5vTeug_3_2"/>
      <w:bookmarkStart w:id="638" w:name="Tc_OMiYrtV-OEOEacLQxvKj6Q_3_0"/>
      <w:bookmarkStart w:id="639" w:name="Tc_PX2EqqUQaUOe84Mi2Sw48Q_2_8"/>
      <w:bookmarkStart w:id="640" w:name="Tc_-Tq1b1DTkkSHAXZhJlSVBw_2_6"/>
      <w:bookmarkStart w:id="641" w:name="Tc_io1LAvm6I0OYjwljPL-rGA_1_8"/>
      <w:bookmarkStart w:id="642" w:name="_a7eb3e52_8991_47a8_a6e0_63ef6ba25b6e"/>
      <w:bookmarkStart w:id="643" w:name="Tc_WHdgEmBgLkeRQe1QzyWhNw_9_4"/>
      <w:bookmarkStart w:id="644" w:name="Tc_IoKoPsacOUel9zOE0QiqPQ_9_2"/>
      <w:bookmarkStart w:id="645" w:name="Tc_1h2OI8n4SkKDfwNBPzdIOA_9_0"/>
      <w:bookmarkStart w:id="646" w:name="Tc__unH0CzmYE6M1DiridwDWA_8_4"/>
      <w:bookmarkStart w:id="647" w:name="Tc_LauuvSzDpEyPK_-GYxWWgA_8_2"/>
      <w:bookmarkStart w:id="648" w:name="Tc_HCmCwqA1m0inQgzQWah4ww_8_0"/>
      <w:bookmarkStart w:id="649" w:name="Tc_1T8U5aaBNkCbIq2W8W73OA_7_4"/>
      <w:bookmarkStart w:id="650" w:name="Tc_MreMatwPqE2oOBCe3joE1w_7_2"/>
      <w:bookmarkStart w:id="651" w:name="Tc_xArlCCqjuUCSstHVoeUgVA_7_0"/>
      <w:bookmarkStart w:id="652" w:name="Tc_6sot8HTHREy2UjC_w_5DKQ_6_4"/>
      <w:bookmarkStart w:id="653" w:name="Tc_Rf2avoOnV0yS9AD3OynSgg_6_2"/>
      <w:bookmarkStart w:id="654" w:name="Tc_A8XDo1HlxUGRs6Bk-PjaKw_6_0"/>
      <w:bookmarkStart w:id="655" w:name="Tc_g_1CGDnoWUuetWCQoAp-Iw_5_14"/>
      <w:bookmarkStart w:id="656" w:name="Tc_68Vn4Z4IEUSwPczNvX6-Hw_5_11"/>
      <w:bookmarkStart w:id="657" w:name="Tc_J4Xg7L_A60CnZQHsUhuyYQ_5_4"/>
      <w:bookmarkStart w:id="658" w:name="Tc_RR6m8NvCx0-h-sZqGM00IQ_5_2"/>
      <w:bookmarkStart w:id="659" w:name="Tc_UGUtE3fC5U-uJfVaRV5pTg_5_0"/>
      <w:bookmarkStart w:id="660" w:name="Tc_rUiYlOYpNEKmj3VD_GqRCQ_4_8"/>
      <w:bookmarkStart w:id="661" w:name="Tc_8sESBbGrvUGzC6eiHJdbKg_4_4"/>
      <w:bookmarkStart w:id="662" w:name="Tc_9Yagu2wXfk6xI0d61rSQOg_4_2"/>
      <w:bookmarkStart w:id="663" w:name="Tc_UJrIV3Z4H0SSj2Qlikz06Q_4_0"/>
      <w:bookmarkStart w:id="664" w:name="Tc_nGcvDub5m0SsrL928lAEKw_3_14"/>
      <w:bookmarkStart w:id="665" w:name="Tc_1e7Qar0SSEG8uLJHfmojVQ_3_11"/>
      <w:bookmarkStart w:id="666" w:name="Tc_V0mXk-5CJE6taWx0YfRdLw_3_8"/>
      <w:bookmarkStart w:id="667" w:name="Tc_EWGdzGhhB0C1RsrQmoHPSg_3_6"/>
      <w:bookmarkStart w:id="668" w:name="Tc_WH7V7mcJH0uRKhqjxNhWvQ_3_4"/>
      <w:bookmarkStart w:id="669" w:name="Tc_tVXD-yebokauwaf4QUgskg_3_2"/>
      <w:bookmarkStart w:id="670" w:name="Tc_sIpMoHHYLU6nH5OEDweMFA_3_0"/>
      <w:bookmarkStart w:id="671" w:name="Tc_W9vURpPtD0OJdDq7YHE6Ug_2_14"/>
      <w:bookmarkStart w:id="672" w:name="Tc_-gqLidl5NUWK2jeDxa5dNQ_2_11"/>
      <w:bookmarkStart w:id="673" w:name="Tc_ngupJ0VHkUK-Ppb2K5IUHQ_2_8"/>
      <w:bookmarkStart w:id="674" w:name="Tc_WSSVLuH0fkKvCEeyo1cB3g_2_6"/>
      <w:bookmarkStart w:id="675" w:name="Tc_3pwQSlRoCEmTTROcgoyvsA_1_14"/>
      <w:bookmarkStart w:id="676" w:name="Tc_7zfazDs3CEGJHgWRg6rGAQ_1_11"/>
      <w:bookmarkStart w:id="677" w:name="Tc_IV_VeeV-PkGO5fy2Q0u-MQ_1_8"/>
      <w:bookmarkStart w:id="678" w:name="_54de0322_cf00_4a29_abe1_f46fea67f0cd"/>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sz w:val="20"/>
        </w:rPr>
        <w:t>As of September 30, 2024, the Company had the following open crude oil and natural gas derivative contracts: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65"/>
        <w:gridCol w:w="326"/>
        <w:gridCol w:w="1149"/>
        <w:gridCol w:w="326"/>
        <w:gridCol w:w="961"/>
        <w:gridCol w:w="326"/>
        <w:gridCol w:w="985"/>
        <w:gridCol w:w="109"/>
        <w:gridCol w:w="327"/>
        <w:gridCol w:w="858"/>
        <w:gridCol w:w="326"/>
        <w:gridCol w:w="327"/>
        <w:gridCol w:w="858"/>
        <w:gridCol w:w="326"/>
        <w:gridCol w:w="320"/>
        <w:gridCol w:w="916"/>
      </w:tblGrid>
      <w:tr>
        <w:trPr/>
        <w:tc>
          <w:tcPr>
            <w:tcW w:w="1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120775" cy="175260"/>
                      <wp:effectExtent l="0" t="0" r="0" b="0"/>
                      <wp:wrapNone/>
                      <wp:docPr id="96" name="Frame95"/>
                      <a:graphic xmlns:a="http://schemas.openxmlformats.org/drawingml/2006/main">
                        <a:graphicData uri="http://schemas.microsoft.com/office/word/2010/wordprocessingShape">
                          <wps:wsp>
                            <wps:cNvSpPr txBox="1"/>
                            <wps:spPr>
                              <a:xfrm>
                                <a:off x="0" y="0"/>
                                <a:ext cx="1120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29615" cy="175260"/>
                      <wp:effectExtent l="0" t="0" r="0" b="0"/>
                      <wp:wrapNone/>
                      <wp:docPr id="98" name="Frame97"/>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0235" cy="175260"/>
                      <wp:effectExtent l="0" t="0" r="0" b="0"/>
                      <wp:wrapNone/>
                      <wp:docPr id="100" name="Frame9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25475" cy="175260"/>
                      <wp:effectExtent l="0" t="0" r="0" b="0"/>
                      <wp:wrapNone/>
                      <wp:docPr id="102" name="Frame10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645" cy="175260"/>
                      <wp:effectExtent l="0" t="0" r="0" b="0"/>
                      <wp:wrapNone/>
                      <wp:docPr id="104" name="Frame10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44830" cy="175260"/>
                      <wp:effectExtent l="0" t="0" r="0" b="0"/>
                      <wp:wrapNone/>
                      <wp:docPr id="105" name="Frame104"/>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645" cy="175260"/>
                      <wp:effectExtent l="0" t="0" r="0" b="0"/>
                      <wp:wrapNone/>
                      <wp:docPr id="107" name="Frame10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44830" cy="175260"/>
                      <wp:effectExtent l="0" t="0" r="0" b="0"/>
                      <wp:wrapNone/>
                      <wp:docPr id="108" name="Frame10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3200" cy="175260"/>
                      <wp:effectExtent l="0" t="0" r="0" b="0"/>
                      <wp:wrapNone/>
                      <wp:docPr id="110" name="Frame10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81660" cy="175260"/>
                      <wp:effectExtent l="0" t="0" r="0" b="0"/>
                      <wp:wrapNone/>
                      <wp:docPr id="111" name="Frame11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w:t>
            </w:r>
          </w:p>
        </w:tc>
        <w:tc>
          <w:tcPr>
            <w:tcW w:w="1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7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Volumes in</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Swap Price per</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Floor Price per</w:t>
            </w:r>
          </w:p>
        </w:tc>
        <w:tc>
          <w:tcPr>
            <w:tcW w:w="326" w:type="dxa"/>
            <w:tcBorders/>
            <w:vAlign w:val="center"/>
          </w:tcPr>
          <w:p>
            <w:pPr>
              <w:pStyle w:val="TableContents"/>
              <w:bidi w:val="0"/>
              <w:spacing w:before="0" w:after="1"/>
              <w:ind w:left="0" w:right="0" w:hanging="0"/>
              <w:jc w:val="left"/>
              <w:rPr/>
            </w:pPr>
            <w:r>
              <w:rPr/>
              <w:t>​</w:t>
            </w:r>
          </w:p>
        </w:tc>
        <w:tc>
          <w:tcPr>
            <w:tcW w:w="1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Ceiling Price per</w:t>
            </w:r>
          </w:p>
        </w:tc>
      </w:tr>
      <w:tr>
        <w:trPr/>
        <w:tc>
          <w:tcPr>
            <w:tcW w:w="1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    </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1"/>
              <w:ind w:left="0" w:right="0" w:hanging="0"/>
              <w:jc w:val="left"/>
              <w:rPr/>
            </w:pPr>
            <w:r>
              <w:rPr/>
              <w:t>    </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r>
      <w:tr>
        <w:trPr/>
        <w:tc>
          <w:tcPr>
            <w:tcW w:w="176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2024 - 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35,962</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74.20</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176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2024 - December 2024</w:t>
            </w:r>
          </w:p>
        </w:tc>
        <w:tc>
          <w:tcPr>
            <w:tcW w:w="326"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35,962</w:t>
            </w:r>
          </w:p>
        </w:tc>
        <w:tc>
          <w:tcPr>
            <w:tcW w:w="10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70.00</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77.40</w:t>
            </w:r>
          </w:p>
        </w:tc>
      </w:tr>
      <w:tr>
        <w:trPr/>
        <w:tc>
          <w:tcPr>
            <w:tcW w:w="176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2025 - March 2025</w:t>
            </w:r>
          </w:p>
        </w:tc>
        <w:tc>
          <w:tcPr>
            <w:tcW w:w="326"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42,566</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73.77</w:t>
            </w:r>
          </w:p>
        </w:tc>
      </w:tr>
      <w:tr>
        <w:trPr/>
        <w:tc>
          <w:tcPr>
            <w:tcW w:w="176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2025 - February 2025</w:t>
            </w:r>
          </w:p>
        </w:tc>
        <w:tc>
          <w:tcPr>
            <w:tcW w:w="326"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312,286</w:t>
            </w:r>
          </w:p>
        </w:tc>
        <w:tc>
          <w:tcPr>
            <w:tcW w:w="10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r>
      <w:tr>
        <w:trPr/>
        <w:tc>
          <w:tcPr>
            <w:tcW w:w="176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2025 - June 2025</w:t>
            </w:r>
          </w:p>
        </w:tc>
        <w:tc>
          <w:tcPr>
            <w:tcW w:w="326"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41,601</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84.00</w:t>
            </w:r>
          </w:p>
        </w:tc>
      </w:tr>
      <w:tr>
        <w:trPr/>
        <w:tc>
          <w:tcPr>
            <w:tcW w:w="176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2025 - December 2026</w:t>
            </w:r>
          </w:p>
        </w:tc>
        <w:tc>
          <w:tcPr>
            <w:tcW w:w="326"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3,170,705</w:t>
            </w:r>
          </w:p>
        </w:tc>
        <w:tc>
          <w:tcPr>
            <w:tcW w:w="10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Subsequent to September 30, 2024, the Company entered into the following new crude oil derivative contracts:</w:t>
      </w:r>
    </w:p>
    <w:tbl>
      <w:tblPr>
        <w:tblW w:w="8036" w:type="dxa"/>
        <w:jc w:val="left"/>
        <w:tblInd w:w="0" w:type="dxa"/>
        <w:tblLayout w:type="fixed"/>
        <w:tblCellMar>
          <w:top w:w="0" w:type="dxa"/>
          <w:left w:w="0" w:type="dxa"/>
          <w:bottom w:w="0" w:type="dxa"/>
          <w:right w:w="0" w:type="dxa"/>
        </w:tblCellMar>
      </w:tblPr>
      <w:tblGrid>
        <w:gridCol w:w="2071"/>
        <w:gridCol w:w="326"/>
        <w:gridCol w:w="1321"/>
        <w:gridCol w:w="326"/>
        <w:gridCol w:w="961"/>
        <w:gridCol w:w="326"/>
        <w:gridCol w:w="1096"/>
        <w:gridCol w:w="109"/>
        <w:gridCol w:w="362"/>
        <w:gridCol w:w="1138"/>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15085" cy="175260"/>
                      <wp:effectExtent l="0" t="0" r="0" b="0"/>
                      <wp:wrapNone/>
                      <wp:docPr id="112" name="Frame11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38835" cy="175260"/>
                      <wp:effectExtent l="0" t="0" r="0" b="0"/>
                      <wp:wrapNone/>
                      <wp:docPr id="114" name="Frame11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10235" cy="175260"/>
                      <wp:effectExtent l="0" t="0" r="0" b="0"/>
                      <wp:wrapNone/>
                      <wp:docPr id="116" name="Frame11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5960" cy="175260"/>
                      <wp:effectExtent l="0" t="0" r="0" b="0"/>
                      <wp:wrapNone/>
                      <wp:docPr id="118" name="Frame1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9870" cy="175260"/>
                      <wp:effectExtent l="0" t="0" r="0" b="0"/>
                      <wp:wrapNone/>
                      <wp:docPr id="120" name="Frame1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22630" cy="175260"/>
                      <wp:effectExtent l="0" t="0" r="0" b="0"/>
                      <wp:wrapNone/>
                      <wp:docPr id="121" name="Frame120"/>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Volumes in</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Swap Price per</w:t>
            </w:r>
          </w:p>
        </w:tc>
      </w:tr>
      <w:tr>
        <w:trPr/>
        <w:tc>
          <w:tcPr>
            <w:tcW w:w="20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MMBTU/BBL</w:t>
            </w:r>
          </w:p>
        </w:tc>
      </w:tr>
      <w:tr>
        <w:trPr/>
        <w:tc>
          <w:tcPr>
            <w:tcW w:w="207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2025 - June 2025</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51,992</w:t>
            </w:r>
          </w:p>
        </w:tc>
        <w:tc>
          <w:tcPr>
            <w:tcW w:w="109"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73.49</w:t>
            </w:r>
          </w:p>
        </w:tc>
      </w:tr>
      <w:tr>
        <w:trPr/>
        <w:tc>
          <w:tcPr>
            <w:tcW w:w="20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2025 - December 2025</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81,335</w:t>
            </w:r>
          </w:p>
        </w:tc>
        <w:tc>
          <w:tcPr>
            <w:tcW w:w="109"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71.40</w:t>
            </w:r>
          </w:p>
        </w:tc>
      </w:tr>
    </w:tbl>
    <w:p>
      <w:pPr>
        <w:pStyle w:val="TextBody"/>
        <w:bidi w:val="0"/>
        <w:spacing w:before="24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September 30, 2024 and June 30, 2024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79"/>
        <w:gridCol w:w="326"/>
        <w:gridCol w:w="428"/>
        <w:gridCol w:w="1118"/>
        <w:gridCol w:w="379"/>
        <w:gridCol w:w="349"/>
        <w:gridCol w:w="777"/>
        <w:gridCol w:w="326"/>
        <w:gridCol w:w="479"/>
        <w:gridCol w:w="1067"/>
        <w:gridCol w:w="404"/>
        <w:gridCol w:w="282"/>
        <w:gridCol w:w="891"/>
      </w:tblGrid>
      <w:tr>
        <w:trPr/>
        <w:tc>
          <w:tcPr>
            <w:tcW w:w="3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45665" cy="175260"/>
                      <wp:effectExtent l="0" t="0" r="0" b="0"/>
                      <wp:wrapNone/>
                      <wp:docPr id="122" name="Frame121"/>
                      <a:graphic xmlns:a="http://schemas.openxmlformats.org/drawingml/2006/main">
                        <a:graphicData uri="http://schemas.microsoft.com/office/word/2010/wordprocessingShape">
                          <wps:wsp>
                            <wps:cNvSpPr txBox="1"/>
                            <wps:spPr>
                              <a:xfrm>
                                <a:off x="0" y="0"/>
                                <a:ext cx="2145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71780" cy="175260"/>
                      <wp:effectExtent l="0" t="0" r="0" b="0"/>
                      <wp:wrapNone/>
                      <wp:docPr id="124" name="Frame123"/>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09930" cy="175260"/>
                      <wp:effectExtent l="0" t="0" r="0" b="0"/>
                      <wp:wrapNone/>
                      <wp:docPr id="125" name="Frame124"/>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0665" cy="175260"/>
                      <wp:effectExtent l="0" t="0" r="0" b="0"/>
                      <wp:wrapNone/>
                      <wp:docPr id="126" name="Frame12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1615" cy="175260"/>
                      <wp:effectExtent l="0" t="0" r="0" b="0"/>
                      <wp:wrapNone/>
                      <wp:docPr id="127" name="Frame12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3395" cy="175260"/>
                      <wp:effectExtent l="0" t="0" r="0" b="0"/>
                      <wp:wrapNone/>
                      <wp:docPr id="128" name="Frame127"/>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04165" cy="175260"/>
                      <wp:effectExtent l="0" t="0" r="0" b="0"/>
                      <wp:wrapNone/>
                      <wp:docPr id="130" name="Frame129"/>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77545" cy="175260"/>
                      <wp:effectExtent l="0" t="0" r="0" b="0"/>
                      <wp:wrapNone/>
                      <wp:docPr id="131" name="Frame130"/>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56540" cy="175260"/>
                      <wp:effectExtent l="0" t="0" r="0" b="0"/>
                      <wp:wrapNone/>
                      <wp:docPr id="132" name="Frame131"/>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9070" cy="175260"/>
                      <wp:effectExtent l="0" t="0" r="0" b="0"/>
                      <wp:wrapNone/>
                      <wp:docPr id="133" name="Frame13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5785" cy="175260"/>
                      <wp:effectExtent l="0" t="0" r="0" b="0"/>
                      <wp:wrapNone/>
                      <wp:docPr id="134" name="Frame133"/>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Assets</w:t>
            </w:r>
          </w:p>
        </w:tc>
        <w:tc>
          <w:tcPr>
            <w:tcW w:w="326" w:type="dxa"/>
            <w:tcBorders/>
            <w:vAlign w:val="center"/>
          </w:tcPr>
          <w:p>
            <w:pPr>
              <w:pStyle w:val="TableContents"/>
              <w:bidi w:val="0"/>
              <w:spacing w:before="0" w:after="0"/>
              <w:ind w:left="0" w:right="0" w:hanging="0"/>
              <w:jc w:val="left"/>
              <w:rPr/>
            </w:pPr>
            <w:r>
              <w:rPr/>
              <w:t>​</w:t>
            </w:r>
          </w:p>
        </w:tc>
        <w:tc>
          <w:tcPr>
            <w:tcW w:w="3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Liabilities</w:t>
            </w:r>
          </w:p>
        </w:tc>
      </w:tr>
      <w:tr>
        <w:trPr/>
        <w:tc>
          <w:tcPr>
            <w:tcW w:w="33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79"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404"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3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w:t>
            </w:r>
          </w:p>
        </w:tc>
        <w:tc>
          <w:tcPr>
            <w:tcW w:w="37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w:t>
            </w:r>
          </w:p>
        </w:tc>
        <w:tc>
          <w:tcPr>
            <w:tcW w:w="32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w:t>
            </w:r>
          </w:p>
        </w:tc>
        <w:tc>
          <w:tcPr>
            <w:tcW w:w="404"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w:t>
            </w:r>
          </w:p>
        </w:tc>
      </w:tr>
      <w:tr>
        <w:trPr/>
        <w:tc>
          <w:tcPr>
            <w:tcW w:w="33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379"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vAlign w:val="center"/>
          </w:tcPr>
          <w:p>
            <w:pPr>
              <w:pStyle w:val="TableContents"/>
              <w:bidi w:val="0"/>
              <w:spacing w:before="0" w:after="0"/>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404"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33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w:t>
            </w:r>
          </w:p>
        </w:tc>
        <w:tc>
          <w:tcPr>
            <w:tcW w:w="379"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404"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1,163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79" w:name="Tc_NwJm-Ja4Gk2Y6fe0pLgYxA_7_11"/>
      <w:bookmarkStart w:id="680" w:name="Tc_yBSWObTEdEWJvzkGEgwiaA_7_9"/>
      <w:bookmarkStart w:id="681" w:name="Tc_38KpSbZ0rkqqXF5XnQQXPw_7_8"/>
      <w:bookmarkStart w:id="682" w:name="Tc_VcdlZVgAyE-jJt_7eOJV9g_7_5"/>
      <w:bookmarkStart w:id="683" w:name="Tc_qm6ODaC77EGxeA2lQoGQCQ_7_3"/>
      <w:bookmarkStart w:id="684" w:name="Tc_FituhSXc20OnkGL-2ffPEw_7_2"/>
      <w:bookmarkStart w:id="685" w:name="Tc_idom5we0fEOWyDGNDvptKg_7_0"/>
      <w:bookmarkStart w:id="686" w:name="Tc_JY2VHDgbcECEWhYN1vyTEw_6_0"/>
      <w:bookmarkStart w:id="687" w:name="Tc_myUHWPojXEqsjHSkamglOA_4_11"/>
      <w:bookmarkStart w:id="688" w:name="Tc_jiH46H-PzUudMuTVOzaFJQ_4_9"/>
      <w:bookmarkStart w:id="689" w:name="Tc_WyqEN8zHpkeUcqjz5NJv_w_4_8"/>
      <w:bookmarkStart w:id="690" w:name="Tc_uZKrlJueG0an-osdcl1cnA_4_5"/>
      <w:bookmarkStart w:id="691" w:name="Tc_FSlHglMEtUGgFXhRb3OO5A_4_3"/>
      <w:bookmarkStart w:id="692" w:name="Tc_MUFXJikgcUaeHpRcxgrEyg_4_2"/>
      <w:bookmarkStart w:id="693" w:name="Tc_XBsz2HpAh0WyY0-hzLpANA_4_0"/>
      <w:bookmarkStart w:id="694" w:name="Tc_5ST-r-04WUOKAwWpMfauCw_3_0"/>
      <w:bookmarkStart w:id="695" w:name="Tc_Hs4PzfEKsku8VtHRPfqaWA_2_11"/>
      <w:bookmarkStart w:id="696" w:name="Tc_aHgbPZwi50a6IbNF6Y8i0g_2_8"/>
      <w:bookmarkStart w:id="697" w:name="Tc_so1iuwibGEeh7zJaFqtICg_2_5"/>
      <w:bookmarkStart w:id="698" w:name="Tc_KULC1HF6gE20ulVZFLjCcw_2_2"/>
      <w:bookmarkStart w:id="699" w:name="Tc_FAGtzdMOxkOZRRgiNZbnAg_1_2"/>
      <w:bookmarkStart w:id="700" w:name="_cf4886da_d818_461c_b878_0e52ff679af7"/>
      <w:bookmarkStart w:id="701" w:name="Tc_nK2Az1wPW0KEpxzsGsXs2w_7_11"/>
      <w:bookmarkStart w:id="702" w:name="Tc_1KqzUwhaM0esTnsRgh6nLQ_7_9"/>
      <w:bookmarkStart w:id="703" w:name="Tc_SwWPv4q3D0SzaMAWxZP3FQ_7_8"/>
      <w:bookmarkStart w:id="704" w:name="Tc_upbwy8_krkmq_24xYhLWMg_7_5"/>
      <w:bookmarkStart w:id="705" w:name="Tc_CUHGzu2yVECfDf-TaM-VyQ_7_3"/>
      <w:bookmarkStart w:id="706" w:name="Tc_PTHWsHPPuE2sShCgN92_BA_7_2"/>
      <w:bookmarkStart w:id="707" w:name="Tc_E7WQJaKnAUGDNMliCF8mPA_7_0"/>
      <w:bookmarkStart w:id="708" w:name="Tc_2eqPC6ZWpEysNPvjDo6ikQ_6_0"/>
      <w:bookmarkStart w:id="709" w:name="Tc_bY_Gw77I_EWqUBifudRjuw_4_11"/>
      <w:bookmarkStart w:id="710" w:name="Tc_LNOGbv9L0kCTNul4UplDXw_4_9"/>
      <w:bookmarkStart w:id="711" w:name="Tc_w4kkYAhuf0eGTexixTiKFQ_4_8"/>
      <w:bookmarkStart w:id="712" w:name="Tc_cBzUUl4NhUqoqOn57JdMRg_4_5"/>
      <w:bookmarkStart w:id="713" w:name="Tc_PbPuUw1zfE-5dqr3pgvySQ_4_3"/>
      <w:bookmarkStart w:id="714" w:name="Tc_6em8GUBCj0WYaJ_c7h6xLw_4_2"/>
      <w:bookmarkStart w:id="715" w:name="Tc_ooubnP7rmEqLfnrnj8UkCA_4_0"/>
      <w:bookmarkStart w:id="716" w:name="Tc_CeVRDgC980u5oy7BOe143w_3_0"/>
      <w:bookmarkStart w:id="717" w:name="Tc_aWj1AhnofE6AKcJvRvY0Pg_2_11"/>
      <w:bookmarkStart w:id="718" w:name="Tc_ZnInjL-TQkmLBz9pgZHAZw_2_8"/>
      <w:bookmarkStart w:id="719" w:name="Tc_iadwmbAgDEKgNN0iZTvfjw_2_5"/>
      <w:bookmarkStart w:id="720" w:name="Tc_M-9jTrkuREGh4_s9OXZ3UQ_2_2"/>
      <w:bookmarkStart w:id="721" w:name="Tc_bp5dP9wqRUSGa6Sw34XqEA_1_2"/>
      <w:bookmarkStart w:id="722" w:name="_2e76a9d5_741f_427b_b807_ee7b4b9c6bd6"/>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as of September 30, 2024 and June 30, 2024 (in thousands). </w:t>
      </w:r>
    </w:p>
    <w:p>
      <w:pPr>
        <w:pStyle w:val="TextBody"/>
        <w:bidi w:val="0"/>
        <w:spacing w:before="0" w:after="0"/>
        <w:ind w:left="0" w:right="0" w:hanging="0"/>
        <w:jc w:val="left"/>
        <w:rPr/>
      </w:pPr>
      <w:r>
        <w:rPr/>
        <w:t>​</w:t>
      </w:r>
    </w:p>
    <w:tbl>
      <w:tblPr>
        <w:tblW w:w="618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55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53185" cy="175260"/>
                      <wp:effectExtent l="0" t="0" r="0" b="0"/>
                      <wp:wrapNone/>
                      <wp:docPr id="135" name="Frame13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7955" cy="175260"/>
                      <wp:effectExtent l="0" t="0" r="0" b="0"/>
                      <wp:wrapNone/>
                      <wp:docPr id="137" name="Frame13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1620" cy="175260"/>
                      <wp:effectExtent l="0" t="0" r="0" b="0"/>
                      <wp:wrapNone/>
                      <wp:docPr id="138" name="Frame13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24485" cy="175260"/>
                      <wp:effectExtent l="0" t="0" r="0" b="0"/>
                      <wp:wrapNone/>
                      <wp:docPr id="141" name="Frame1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7955" cy="175260"/>
                      <wp:effectExtent l="0" t="0" r="0" b="0"/>
                      <wp:wrapNone/>
                      <wp:docPr id="143" name="Frame1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1620" cy="175260"/>
                      <wp:effectExtent l="0" t="0" r="0" b="0"/>
                      <wp:wrapNone/>
                      <wp:docPr id="144" name="Frame14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53060" cy="175260"/>
                      <wp:effectExtent l="0" t="0" r="0" b="0"/>
                      <wp:wrapNone/>
                      <wp:docPr id="147" name="Frame14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2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1,455</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480</w:t>
            </w:r>
          </w:p>
        </w:tc>
      </w:tr>
    </w:tbl>
    <w:p>
      <w:pPr>
        <w:pStyle w:val="TextBody"/>
        <w:bidi w:val="0"/>
        <w:spacing w:before="0" w:after="24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53185" cy="175260"/>
                      <wp:effectExtent l="0" t="0" r="0" b="0"/>
                      <wp:wrapNone/>
                      <wp:docPr id="148" name="Frame14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7955" cy="175260"/>
                      <wp:effectExtent l="0" t="0" r="0" b="0"/>
                      <wp:wrapNone/>
                      <wp:docPr id="150" name="Frame14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61620" cy="175260"/>
                      <wp:effectExtent l="0" t="0" r="0" b="0"/>
                      <wp:wrapNone/>
                      <wp:docPr id="151" name="Frame15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24485" cy="175260"/>
                      <wp:effectExtent l="0" t="0" r="0" b="0"/>
                      <wp:wrapNone/>
                      <wp:docPr id="154" name="Frame15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7955" cy="175260"/>
                      <wp:effectExtent l="0" t="0" r="0" b="0"/>
                      <wp:wrapNone/>
                      <wp:docPr id="156" name="Frame15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1620" cy="175260"/>
                      <wp:effectExtent l="0" t="0" r="0" b="0"/>
                      <wp:wrapNone/>
                      <wp:docPr id="157" name="Frame15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9" name="Frame1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1160" cy="175260"/>
                      <wp:effectExtent l="0" t="0" r="0" b="0"/>
                      <wp:wrapNone/>
                      <wp:docPr id="160" name="Frame15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1,660</w:t>
            </w:r>
          </w:p>
        </w:tc>
      </w:tr>
    </w:tbl>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bookmarkStart w:id="723" w:name="Tc_fMgXrO0y7ke3njJrc0_GVQ_6_2"/>
      <w:bookmarkStart w:id="724" w:name="Tc_nrbDeFdJ1EWrwZ7hO69QnA_6_0"/>
      <w:bookmarkStart w:id="725" w:name="Tc_zRHJfyFBn0WJAGXzC_yAKw_5_0"/>
      <w:bookmarkStart w:id="726" w:name="Tc_nyV1BAKU0kqkkzdjbW7_ow_4_0"/>
      <w:bookmarkStart w:id="727" w:name="Tc_SvJikC-Hx0SjkR32Z0b6iQ_3_0"/>
      <w:bookmarkStart w:id="728" w:name="Tc_cjRGQy-wsUi1FxQ-e8hOJg_2_2"/>
      <w:bookmarkStart w:id="729" w:name="Tc_m_5jasRmNEOCypHSGWXvvA_2_0"/>
      <w:bookmarkStart w:id="730" w:name="Tc_xeEDq4FjRECMVsUhwSBZgg_1_2"/>
      <w:bookmarkStart w:id="731" w:name="_ca729665_5364_4415_b087_50a217d730f7"/>
      <w:bookmarkEnd w:id="723"/>
      <w:bookmarkEnd w:id="724"/>
      <w:bookmarkEnd w:id="725"/>
      <w:bookmarkEnd w:id="726"/>
      <w:bookmarkEnd w:id="727"/>
      <w:bookmarkEnd w:id="728"/>
      <w:bookmarkEnd w:id="729"/>
      <w:bookmarkEnd w:id="730"/>
      <w:bookmarkEnd w:id="731"/>
      <w:r>
        <w:rPr>
          <w:rFonts w:ascii="Times New Roman;Times;serif" w:hAnsi="Times New Roman;Times;serif"/>
          <w:b/>
          <w:sz w:val="20"/>
        </w:rPr>
        <w:t>Note 9. Asset Retirement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Times;serif" w:hAnsi="Times New Roman;Times;serif"/>
          <w:i/>
          <w:sz w:val="20"/>
        </w:rPr>
        <w:t xml:space="preserve">Oil and natural gas properties,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period ended September 30, 2024 (in thousands):</w:t>
      </w:r>
    </w:p>
    <w:tbl>
      <w:tblPr>
        <w:tblW w:w="5743" w:type="dxa"/>
        <w:jc w:val="left"/>
        <w:tblInd w:w="0" w:type="dxa"/>
        <w:tblLayout w:type="fixed"/>
        <w:tblCellMar>
          <w:top w:w="0" w:type="dxa"/>
          <w:left w:w="0" w:type="dxa"/>
          <w:bottom w:w="0" w:type="dxa"/>
          <w:right w:w="0" w:type="dxa"/>
        </w:tblCellMar>
      </w:tblPr>
      <w:tblGrid>
        <w:gridCol w:w="3766"/>
        <w:gridCol w:w="326"/>
        <w:gridCol w:w="358"/>
        <w:gridCol w:w="1293"/>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91410" cy="175260"/>
                      <wp:effectExtent l="0" t="0" r="0" b="0"/>
                      <wp:wrapNone/>
                      <wp:docPr id="161" name="Frame160"/>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7330" cy="175260"/>
                      <wp:effectExtent l="0" t="0" r="0" b="0"/>
                      <wp:wrapNone/>
                      <wp:docPr id="163" name="Frame16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21055" cy="175260"/>
                      <wp:effectExtent l="0" t="0" r="0" b="0"/>
                      <wp:wrapNone/>
                      <wp:docPr id="164" name="Frame163"/>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19,811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19,610</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the Company had 33,606,532 shares of 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began paying quarterly cash dividends on common stock in December 2013. As of September 30, 2024, the Company has cumulatively paid over $122.5 million in cash dividends. The Company paid dividends of $4.0 million to its common stockholders during each of the three months ended September 30, 2024 and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732" w:name="Tc_0DYJMX-olUeMfgpCmrdvEg_6_5"/>
      <w:bookmarkStart w:id="733" w:name="Tc_uaEM1WBQnkq8e7x0IxOXzg_6_2"/>
      <w:bookmarkStart w:id="734" w:name="Tc_ebRdF6RFi0CEwMOHGH_V9A_6_0"/>
      <w:bookmarkStart w:id="735" w:name="Tc_EJhZACBakk26klPbzGB8vQ_5_5"/>
      <w:bookmarkStart w:id="736" w:name="Tc_WQqn3jb0CkCtN9dw8KT2KA_5_2"/>
      <w:bookmarkStart w:id="737" w:name="Tc_TbUCFh7gM060T9ALFEczPA_5_0"/>
      <w:bookmarkStart w:id="738" w:name="Tc_9u9okOaf6EuUT_1mYhniiA_4_0"/>
      <w:bookmarkStart w:id="739" w:name="Tc_lceGmwpLcEyJh0mAYhCmag_3_5"/>
      <w:bookmarkStart w:id="740" w:name="Tc_-TE9hw_nwkGMiecJunJ-wg_3_2"/>
      <w:bookmarkStart w:id="741" w:name="Tc_afE-ioXGm0uwS2wvcIFefg_2_2"/>
      <w:bookmarkStart w:id="742" w:name="Tc_8kaSEQAWB0W24asnUrPmiQ_1_2"/>
      <w:bookmarkStart w:id="743" w:name="_faec2dab_219a_4016_96a6_ff08ac0a25ec"/>
      <w:bookmarkStart w:id="744" w:name="Tc_NYvGr8JHG0uo8VT0R6u45g_3_5"/>
      <w:bookmarkStart w:id="745" w:name="Tc_ufGaQ8DJGU6BlmhOsgTg6A_3_2"/>
      <w:bookmarkStart w:id="746" w:name="Tc_4n-ursQ8HkC6bpp0-lvGmA_3_0"/>
      <w:bookmarkStart w:id="747" w:name="Tc_oKcUYg_q20Cm3aRTxnVxPA_2_5"/>
      <w:bookmarkStart w:id="748" w:name="Tc_AjF-W72bF0GdrPWU3GA3Tg_2_2"/>
      <w:bookmarkStart w:id="749" w:name="Tc_vYbAv-01E06hhbxugwI1kg_1_2"/>
      <w:bookmarkStart w:id="750" w:name="_7829c56e_1e63_4215_87a8_4acdb16554ad"/>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sz w:val="20"/>
        </w:rPr>
        <w:t>The following table reflects the dividends paid per share within the respective three-month periods:</w:t>
      </w:r>
    </w:p>
    <w:tbl>
      <w:tblPr>
        <w:tblW w:w="3582" w:type="dxa"/>
        <w:jc w:val="left"/>
        <w:tblInd w:w="0" w:type="dxa"/>
        <w:tblLayout w:type="fixed"/>
        <w:tblCellMar>
          <w:top w:w="0" w:type="dxa"/>
          <w:left w:w="0" w:type="dxa"/>
          <w:bottom w:w="0" w:type="dxa"/>
          <w:right w:w="0" w:type="dxa"/>
        </w:tblCellMar>
      </w:tblPr>
      <w:tblGrid>
        <w:gridCol w:w="1411"/>
        <w:gridCol w:w="326"/>
        <w:gridCol w:w="196"/>
        <w:gridCol w:w="511"/>
        <w:gridCol w:w="326"/>
        <w:gridCol w:w="196"/>
        <w:gridCol w:w="61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95985" cy="175260"/>
                      <wp:effectExtent l="0" t="0" r="0" b="0"/>
                      <wp:wrapNone/>
                      <wp:docPr id="165" name="Frame16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24485" cy="175260"/>
                      <wp:effectExtent l="0" t="0" r="0" b="0"/>
                      <wp:wrapNone/>
                      <wp:docPr id="168" name="Frame16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1160" cy="175260"/>
                      <wp:effectExtent l="0" t="0" r="0" b="0"/>
                      <wp:wrapNone/>
                      <wp:docPr id="171" name="Frame17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The Company did not repurchase any shares of common stock under the plan during the three months ended September 30, 2024. Since the plan’s inception in September 2022, a total of 0.8 million shares of the Company’s common stock have been repurchased under the plan at a total cost of approximately $4.6 million, including incremental direct transaction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2024 and 2023, the Company acquired treasury stock upon the ordinary course of scheduled vestings of employee stock-based awards to fund payroll tax withholding obligations. These treasury shares were subsequently cancelled. Such shares were valued at fair market value on the date of vesting.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all treasury stock purchases during the three months ended September 30, 2024 and 2023 (in thousands, except per share amounts):</w:t>
      </w:r>
    </w:p>
    <w:tbl>
      <w:tblPr>
        <w:tblW w:w="4736" w:type="dxa"/>
        <w:jc w:val="left"/>
        <w:tblInd w:w="0" w:type="dxa"/>
        <w:tblLayout w:type="fixed"/>
        <w:tblCellMar>
          <w:top w:w="0" w:type="dxa"/>
          <w:left w:w="0" w:type="dxa"/>
          <w:bottom w:w="0" w:type="dxa"/>
          <w:right w:w="0" w:type="dxa"/>
        </w:tblCellMar>
      </w:tblPr>
      <w:tblGrid>
        <w:gridCol w:w="2761"/>
        <w:gridCol w:w="326"/>
        <w:gridCol w:w="230"/>
        <w:gridCol w:w="495"/>
        <w:gridCol w:w="128"/>
        <w:gridCol w:w="230"/>
        <w:gridCol w:w="56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53235" cy="175260"/>
                      <wp:effectExtent l="0" t="0" r="0" b="0"/>
                      <wp:wrapNone/>
                      <wp:docPr id="172" name="Frame17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6050" cy="175260"/>
                      <wp:effectExtent l="0" t="0" r="0" b="0"/>
                      <wp:wrapNone/>
                      <wp:docPr id="174" name="Frame17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14325" cy="175260"/>
                      <wp:effectExtent l="0" t="0" r="0" b="0"/>
                      <wp:wrapNone/>
                      <wp:docPr id="175" name="Frame174"/>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1280" cy="175260"/>
                      <wp:effectExtent l="0" t="0" r="0" b="0"/>
                      <wp:wrapNone/>
                      <wp:docPr id="176" name="Frame175"/>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6050" cy="175260"/>
                      <wp:effectExtent l="0" t="0" r="0" b="0"/>
                      <wp:wrapNone/>
                      <wp:docPr id="177" name="Frame17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59410" cy="175260"/>
                      <wp:effectExtent l="0" t="0" r="0" b="0"/>
                      <wp:wrapNone/>
                      <wp:docPr id="178" name="Frame17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4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8"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12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12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8.89</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128"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w:t>
            </w:r>
          </w:p>
        </w:tc>
      </w:tr>
    </w:tbl>
    <w:p>
      <w:pPr>
        <w:pStyle w:val="TextBody"/>
        <w:bidi w:val="0"/>
        <w:spacing w:before="0" w:after="240"/>
        <w:ind w:left="72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2024, all common stock dividends for that fiscal year were treated for tax purposes as qualified dividend income to the recipients. Based on its current projections for the fiscal year ended June 30, 2025, the Company expects all common stock dividends for such period to be treated as qualified dividend income to the recipients. Such projections are based on the Company’s reasonable expectations as of September 30, 2024 and are subject to change based on the Company’s final tax calculations at the end of the fiscal year.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September 30, 2024 and June 30, 2024, approximately 0.5 million shares and 0.9 million shares, respectively, remained available for grant under the 2016 Plan. Subject to shareholder approval at the December 5, 2024 annual meeting, the Board of Directors approved and adopted an amended and restated 2016 Plan (the "Amended and Restated Plan”) on October 18, 2024, which would authorize an additional 2.1 million shares for issuance under the Amended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51" w:name="_Hlk118406756"/>
      <w:bookmarkEnd w:id="751"/>
      <w:r>
        <w:rPr>
          <w:rFonts w:ascii="Times New Roman;Times;serif" w:hAnsi="Times New Roman;Times;serif"/>
          <w:sz w:val="20"/>
        </w:rPr>
        <w:t xml:space="preserve">Restated Plan, as well as indefinitely extend the duration of the Amended and Restated Plan provided that no new awards shall be made under the Amended and Restated Plan on or after the tenth anniversary of the date the stockholders approve the Amended and Restated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During the three months ended September 30, 2024 and 2023, the Company recognized $0.6 million and $0.5 million, respectively, related to stock-based compensation. Stock-based compensation expense is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Performance-based contingent share units do not participate in dividends and shares are only issued in part or in full upon the attainment of vesting conditions, generally have a lower probability of achievement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2024, the Company granted a total of 0.4 million equity awards that included 0.1 million time-vested restricted stock awards, 0.2 million performance-based restricted stock awards, and 0.1 million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2023, the Company granted a total of 0.3 million equity awards that included 0.1 million time-vested restricted stock awards, 0.1 million performance-based restricted stock awards, and 0.1 million of performance-based contingent stock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752" w:name="Tc_wF5C5y9JoEOZ3Drxgv_tYg_8_7"/>
      <w:bookmarkStart w:id="753" w:name="Tc_HdNtaGZsMkSlh5xKUFkixg_8_4"/>
      <w:bookmarkStart w:id="754" w:name="Tc_KAttgeXlZkmNlDP1U8hktA_8_0"/>
      <w:bookmarkStart w:id="755" w:name="Tc_kibG7viN80O3behDqXuOwg_7_0"/>
      <w:bookmarkStart w:id="756" w:name="Tc_psM8cevltUCF4oxb_JxwxA_6_7"/>
      <w:bookmarkStart w:id="757" w:name="Tc_Kl7-5SzUZUWoDDY3piMCOg_6_4"/>
      <w:bookmarkStart w:id="758" w:name="Tc_WbcgH1FgbUeqRqHJIFsFlQ_6_0"/>
      <w:bookmarkStart w:id="759" w:name="Tc_FY6OFN3Ai0eiJsZXjj6Ylg_5_10"/>
      <w:bookmarkStart w:id="760" w:name="Tc_n4mfxo8vjEGw-T-umZoldA_5_7"/>
      <w:bookmarkStart w:id="761" w:name="Tc_ktm-5LpIQ0uD_20Xkul6Yg_5_4"/>
      <w:bookmarkStart w:id="762" w:name="Tc_SRW_Xx-pnkSj2D4tBAnNPw_5_2"/>
      <w:bookmarkStart w:id="763" w:name="Tc_wT3JRcswD0iNxGk8wuI_Tg_4_10"/>
      <w:bookmarkStart w:id="764" w:name="Tc_v7o-xUYlrEyoIwzBMtBLzA_4_7"/>
      <w:bookmarkStart w:id="765" w:name="Tc_BgqLgs5mq0KYLtrfwScWfQ_4_4"/>
      <w:bookmarkStart w:id="766" w:name="Tc_ni9zGTjW40ihLZBOIAEdgA_4_2"/>
      <w:bookmarkStart w:id="767" w:name="Tc_R_x16udK3UW3JSyLiSGEVw_3_10"/>
      <w:bookmarkStart w:id="768" w:name="Tc_Z-eVf3Zld0y8N6WCRFNr7w_3_7"/>
      <w:bookmarkStart w:id="769" w:name="Tc_J1hHvYySjEWRx3LfTzUmcg_3_4"/>
      <w:bookmarkStart w:id="770" w:name="Tc_DQFVp77-MkqlBhhn1T0ueQ_3_2"/>
      <w:bookmarkStart w:id="771" w:name="Tc_P7wbTl8AeEGh36qey3VmtA_2_10"/>
      <w:bookmarkStart w:id="772" w:name="Tc_tg-DoJWLTEiWKZqBjqn2Dw_2_7"/>
      <w:bookmarkStart w:id="773" w:name="Tc_7MYIFRp2o0SsDGQS27tfwQ_1_10"/>
      <w:bookmarkStart w:id="774" w:name="_39bb90b1_d154_4baf_8a63_17a1713e0525"/>
      <w:bookmarkStart w:id="775" w:name="Tc_sTiuevzlkUq9t1zntpf2vw_10_7"/>
      <w:bookmarkStart w:id="776" w:name="Tc_fbXVtj-dQEyKJENRv1qfog_10_4"/>
      <w:bookmarkStart w:id="777" w:name="Tc_uaRxiPCR70yQAza-N1drGg_10_0"/>
      <w:bookmarkStart w:id="778" w:name="Tc_XCU4PTobX0efCv1hTbuEBw_9_0"/>
      <w:bookmarkStart w:id="779" w:name="Tc_wGzfQQMkWkSz18uGc17pcA_8_0"/>
      <w:bookmarkStart w:id="780" w:name="Tc_V3hXd7JX7UmBoCfMBWrQjg_7_0"/>
      <w:bookmarkStart w:id="781" w:name="Tc_kFh_ZuRZv0CANPAoWwUHhQ_6_7"/>
      <w:bookmarkStart w:id="782" w:name="Tc_WJ4uh9_oG063Bqx3adlREA_6_0"/>
      <w:bookmarkStart w:id="783" w:name="Tc_ALfwdbeHOkGfmaJqcl_KIg_5_10"/>
      <w:bookmarkStart w:id="784" w:name="Tc_x3oItzomZU-hDNYEArz7UQ_5_7"/>
      <w:bookmarkStart w:id="785" w:name="Tc_wE9xpEKmFk-98YCmzzDppw_5_4"/>
      <w:bookmarkStart w:id="786" w:name="Tc_pt1gkPdbEU6aQ3JHjInFfA_5_2"/>
      <w:bookmarkStart w:id="787" w:name="Tc_YKau5r3os0qMfL7l1RTHDw_4_10"/>
      <w:bookmarkStart w:id="788" w:name="Tc_wHKOYbjw3ki9WyMqhoYCkA_4_7"/>
      <w:bookmarkStart w:id="789" w:name="Tc_fxzmP_DyH0StvOkuYKuPOQ_4_4"/>
      <w:bookmarkStart w:id="790" w:name="Tc_KYCuRA6s4Ui9_N6KMu2yoQ_4_2"/>
      <w:bookmarkStart w:id="791" w:name="Tc_RTm9AIBh8kGvQqr0eOouwg_3_10"/>
      <w:bookmarkStart w:id="792" w:name="Tc_CLc5P9KrYkCj6vIQGoZKzw_3_7"/>
      <w:bookmarkStart w:id="793" w:name="Tc_TZZVV2z_M0a3f17EBlJJhg_3_4"/>
      <w:bookmarkStart w:id="794" w:name="Tc_hxt_7k9KJ0aOucd5hggvlA_3_2"/>
      <w:bookmarkStart w:id="795" w:name="Tc_j4RrA7TkSkaxwEyHRbrzcg_2_10"/>
      <w:bookmarkStart w:id="796" w:name="Tc_jp4Oceg2zEGjp6m5uttptQ_2_7"/>
      <w:bookmarkStart w:id="797" w:name="Tc_eN8zd1HtTkOdNls9rNiVfA_2_4"/>
      <w:bookmarkStart w:id="798" w:name="Tc_BpIeclWOdUeO3Tnt2a0Avw_1_10"/>
      <w:bookmarkStart w:id="799" w:name="_2aae393f_a863_4b61_9c55_af88f4acb3ad"/>
      <w:bookmarkStart w:id="800" w:name="_Hlk118406769"/>
      <w:bookmarkStart w:id="801" w:name="Tc_S8Jf-S6GaE2smOmfrfxD6Q_7_4"/>
      <w:bookmarkStart w:id="802" w:name="Tc_pHukJZ-SyUKFiBrcgMQrLA_7_0"/>
      <w:bookmarkStart w:id="803" w:name="Tc_SS40zjSO6kON8VvVuDSggw_6_0"/>
      <w:bookmarkStart w:id="804" w:name="Tc_k6whPdlSEEivpfC3OLZRFQ_5_4"/>
      <w:bookmarkStart w:id="805" w:name="Tc_chpciO6-20O1pZq3sWFcPQ_5_0"/>
      <w:bookmarkStart w:id="806" w:name="Tc_0-uGpmw6z0SylYLbyDYKYg_4_4"/>
      <w:bookmarkStart w:id="807" w:name="Tc_mTFNR9QiXkm-oekGIeCM3Q_4_2"/>
      <w:bookmarkStart w:id="808" w:name="Tc__4iNQhWo00GuF9o94RtaiQ_4_0"/>
      <w:bookmarkStart w:id="809" w:name="Tc_U6B3pGAdRUKEeXPdz6ndbA_3_4"/>
      <w:bookmarkStart w:id="810" w:name="Tc_IJxC4bjUPkytAN7-1DKKgQ_3_2"/>
      <w:bookmarkStart w:id="811" w:name="Tc_oea43v7BxE-t7Ykkg4wJag_2_4"/>
      <w:bookmarkStart w:id="812" w:name="Tc_uihKvaoarky2Xwahwmk_Vw_2_2"/>
      <w:bookmarkStart w:id="813" w:name="Tc_BTs6R8lahkWvDXQA1zTsTA_1_4"/>
      <w:bookmarkStart w:id="814" w:name="_c30fad03_af99_45f2_b601_513f8d8e1004"/>
      <w:bookmarkStart w:id="815" w:name="Tc_RKuZLlZNDUywCuR4uUjbbQ_8_0"/>
      <w:bookmarkStart w:id="816" w:name="Tc_X10J4S5DdUCSlumytvn9yQ_7_0"/>
      <w:bookmarkStart w:id="817" w:name="Tc_NGID-zHHjE2u2r9pi-CRkw_6_0"/>
      <w:bookmarkStart w:id="818" w:name="Tc_O27P8qN53kC81CeCErmgBA_5_0"/>
      <w:bookmarkStart w:id="819" w:name="Tc_ffAMSLKyiUazEdMLTjBwwg_4_5"/>
      <w:bookmarkStart w:id="820" w:name="Tc_ZLk6rZr_oEKgccVYnRsT0g_4_2"/>
      <w:bookmarkStart w:id="821" w:name="Tc_y945Djb08EypTs5L0A6Mjg_4_0"/>
      <w:bookmarkStart w:id="822" w:name="Tc_XpkgJgf-90GskLOD2QrutA_3_5"/>
      <w:bookmarkStart w:id="823" w:name="Tc_0mZawuRWeEywTAFZqmRm-A_3_2"/>
      <w:bookmarkStart w:id="824" w:name="Tc_1i9fGb0XUEm8OUZ6s36mtQ_2_2"/>
      <w:bookmarkStart w:id="825" w:name="Tc_cpidikjozkay0iZoCK7IWw_1_2"/>
      <w:bookmarkStart w:id="826" w:name="_c63d5b6f_0d29_4e39_b0cc_583e195a680b"/>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sz w:val="20"/>
        </w:rPr>
        <w:t>For performance-based awards granted during the three months ended September 30, 2024 and 2023, the assumptions used in the Monte Carlo simulation valuations were as follows:</w:t>
      </w:r>
    </w:p>
    <w:tbl>
      <w:tblPr>
        <w:tblW w:w="7032" w:type="dxa"/>
        <w:jc w:val="left"/>
        <w:tblInd w:w="0" w:type="dxa"/>
        <w:tblLayout w:type="fixed"/>
        <w:tblCellMar>
          <w:top w:w="0" w:type="dxa"/>
          <w:left w:w="0" w:type="dxa"/>
          <w:bottom w:w="0" w:type="dxa"/>
          <w:right w:w="0" w:type="dxa"/>
        </w:tblCellMar>
      </w:tblPr>
      <w:tblGrid>
        <w:gridCol w:w="4801"/>
        <w:gridCol w:w="326"/>
        <w:gridCol w:w="196"/>
        <w:gridCol w:w="571"/>
        <w:gridCol w:w="32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048635" cy="175260"/>
                      <wp:effectExtent l="0" t="0" r="0" b="0"/>
                      <wp:wrapNone/>
                      <wp:docPr id="179" name="Frame17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2585" cy="175260"/>
                      <wp:effectExtent l="0" t="0" r="0" b="0"/>
                      <wp:wrapNone/>
                      <wp:docPr id="182" name="Frame1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84"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91160" cy="175260"/>
                      <wp:effectExtent l="0" t="0" r="0" b="0"/>
                      <wp:wrapNone/>
                      <wp:docPr id="185" name="Frame18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September 30, 2024 consisted of the following:</w:t>
      </w:r>
    </w:p>
    <w:tbl>
      <w:tblPr>
        <w:tblW w:w="5065" w:type="dxa"/>
        <w:jc w:val="left"/>
        <w:tblInd w:w="0" w:type="dxa"/>
        <w:tblLayout w:type="fixed"/>
        <w:tblCellMar>
          <w:top w:w="0" w:type="dxa"/>
          <w:left w:w="0" w:type="dxa"/>
          <w:bottom w:w="0" w:type="dxa"/>
          <w:right w:w="0" w:type="dxa"/>
        </w:tblCellMar>
      </w:tblPr>
      <w:tblGrid>
        <w:gridCol w:w="2431"/>
        <w:gridCol w:w="326"/>
        <w:gridCol w:w="946"/>
        <w:gridCol w:w="326"/>
        <w:gridCol w:w="280"/>
        <w:gridCol w:w="75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543685" cy="175260"/>
                      <wp:effectExtent l="0" t="0" r="0" b="0"/>
                      <wp:wrapNone/>
                      <wp:docPr id="186" name="Frame18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00710" cy="175260"/>
                      <wp:effectExtent l="0" t="0" r="0" b="0"/>
                      <wp:wrapNone/>
                      <wp:docPr id="188" name="Frame1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7800" cy="175260"/>
                      <wp:effectExtent l="0" t="0" r="0" b="0"/>
                      <wp:wrapNone/>
                      <wp:docPr id="190" name="Frame18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80060" cy="175260"/>
                      <wp:effectExtent l="0" t="0" r="0" b="0"/>
                      <wp:wrapNone/>
                      <wp:docPr id="191" name="Frame19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shd w:fill="FFFF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441,563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422,884</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864,447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5.91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three months ended September 30, 2024:</w:t>
      </w:r>
    </w:p>
    <w:p>
      <w:pPr>
        <w:pStyle w:val="TextBody"/>
        <w:bidi w:val="0"/>
        <w:spacing w:before="0" w:after="24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551"/>
        <w:gridCol w:w="326"/>
        <w:gridCol w:w="946"/>
        <w:gridCol w:w="326"/>
        <w:gridCol w:w="314"/>
        <w:gridCol w:w="677"/>
        <w:gridCol w:w="326"/>
        <w:gridCol w:w="353"/>
        <w:gridCol w:w="922"/>
        <w:gridCol w:w="32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19885" cy="175260"/>
                      <wp:effectExtent l="0" t="0" r="0" b="0"/>
                      <wp:wrapNone/>
                      <wp:docPr id="192" name="Frame19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00710" cy="175260"/>
                      <wp:effectExtent l="0" t="0" r="0" b="0"/>
                      <wp:wrapNone/>
                      <wp:docPr id="194" name="Frame19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9390" cy="175260"/>
                      <wp:effectExtent l="0" t="0" r="0" b="0"/>
                      <wp:wrapNone/>
                      <wp:docPr id="196" name="Frame19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895" cy="175260"/>
                      <wp:effectExtent l="0" t="0" r="0" b="0"/>
                      <wp:wrapNone/>
                      <wp:docPr id="197" name="Frame19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4155" cy="175260"/>
                      <wp:effectExtent l="0" t="0" r="0" b="0"/>
                      <wp:wrapNone/>
                      <wp:docPr id="199" name="Frame19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85470" cy="175260"/>
                      <wp:effectExtent l="0" t="0" r="0" b="0"/>
                      <wp:wrapNone/>
                      <wp:docPr id="200" name="Frame19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00735" cy="175260"/>
                      <wp:effectExtent l="0" t="0" r="0" b="0"/>
                      <wp:wrapNone/>
                      <wp:docPr id="202" name="Frame20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628,511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2,492</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94,740</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189,477</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(48,281)</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864,447</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3,434</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contingent restricted stock unit transactions for the three months ended September 30, 2024:</w:t>
      </w:r>
    </w:p>
    <w:tbl>
      <w:tblPr>
        <w:tblW w:w="8972" w:type="dxa"/>
        <w:jc w:val="left"/>
        <w:tblInd w:w="0" w:type="dxa"/>
        <w:tblLayout w:type="fixed"/>
        <w:tblCellMar>
          <w:top w:w="0" w:type="dxa"/>
          <w:left w:w="0" w:type="dxa"/>
          <w:bottom w:w="0" w:type="dxa"/>
          <w:right w:w="0" w:type="dxa"/>
        </w:tblCellMar>
      </w:tblPr>
      <w:tblGrid>
        <w:gridCol w:w="2611"/>
        <w:gridCol w:w="326"/>
        <w:gridCol w:w="1006"/>
        <w:gridCol w:w="326"/>
        <w:gridCol w:w="481"/>
        <w:gridCol w:w="1034"/>
        <w:gridCol w:w="326"/>
        <w:gridCol w:w="436"/>
        <w:gridCol w:w="839"/>
        <w:gridCol w:w="326"/>
        <w:gridCol w:w="1261"/>
      </w:tblGrid>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38810" cy="175260"/>
                      <wp:effectExtent l="0" t="0" r="0" b="0"/>
                      <wp:wrapNone/>
                      <wp:docPr id="203" name="Frame20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05435" cy="175260"/>
                      <wp:effectExtent l="0" t="0" r="0" b="0"/>
                      <wp:wrapNone/>
                      <wp:docPr id="205" name="Frame20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6590" cy="175260"/>
                      <wp:effectExtent l="0" t="0" r="0" b="0"/>
                      <wp:wrapNone/>
                      <wp:docPr id="206" name="Frame205"/>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76860" cy="175260"/>
                      <wp:effectExtent l="0" t="0" r="0" b="0"/>
                      <wp:wrapNone/>
                      <wp:docPr id="208" name="Frame20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32765" cy="175260"/>
                      <wp:effectExtent l="0" t="0" r="0" b="0"/>
                      <wp:wrapNone/>
                      <wp:docPr id="209" name="Frame20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00735" cy="175260"/>
                      <wp:effectExtent l="0" t="0" r="0" b="0"/>
                      <wp:wrapNone/>
                      <wp:docPr id="211" name="Frame21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6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142,112</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292,900</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7" w:name="Tc_8iyfYXVwwU2EcILCTjgbhQ_17_5"/>
      <w:bookmarkStart w:id="828" w:name="Tc_C9K5I3HirUG5ZwOj471vLg_17_2"/>
      <w:bookmarkStart w:id="829" w:name="Tc_nIbnkAbFX0-vS6PylFj-CQ_17_0"/>
      <w:bookmarkStart w:id="830" w:name="Tc_7J7WYgsbbkCvlu1OGwvSYQ_16_5"/>
      <w:bookmarkStart w:id="831" w:name="Tc_y5jnQ0zW1E2_FltHIqbMmw_16_2"/>
      <w:bookmarkStart w:id="832" w:name="Tc_3J3mzRCK_keBEGhSsh_O8w_16_0"/>
      <w:bookmarkStart w:id="833" w:name="Tc_jUaET25UBE-pY8mNxpLPtQ_14_0"/>
      <w:bookmarkStart w:id="834" w:name="Tc_8Ssp8kAtpkiu_DWXry_BsQ_13_3"/>
      <w:bookmarkStart w:id="835" w:name="Tc_OfhdJHpYEEiXVh2aePhGBA_13_0"/>
      <w:bookmarkStart w:id="836" w:name="Tc_6cqEE9ikTU-YMQl2nBQm8w_12_0"/>
      <w:bookmarkStart w:id="837" w:name="Tc_It3k579QiEyD06TtXny9XA_11_0"/>
      <w:bookmarkStart w:id="838" w:name="Tc_3rEZI_j-60O1JzyPdBmZPQ_10_0"/>
      <w:bookmarkStart w:id="839" w:name="Tc_7QRlEiUTpU-QdOFyJhzKXg_9_0"/>
      <w:bookmarkStart w:id="840" w:name="Tc_CAnXBU2YrE-W7fZb0RWXvQ_7_5"/>
      <w:bookmarkStart w:id="841" w:name="Tc_MWJzJA8fJkqx-f37JUNPUA_7_2"/>
      <w:bookmarkStart w:id="842" w:name="Tc_MKgEOgJJAUKw-v5q0yPMFA_7_0"/>
      <w:bookmarkStart w:id="843" w:name="Tc_Mmatm3uetUWpMu9I-v0_AA_6_0"/>
      <w:bookmarkStart w:id="844" w:name="Tc_cHjL3wKsDUasfnbNGacIjw_5_5"/>
      <w:bookmarkStart w:id="845" w:name="Tc_8wdaJC_A3k-B8fibHQy5Zw_5_2"/>
      <w:bookmarkStart w:id="846" w:name="Tc_EvFcMUg26EKJ78gJEGy-ng_5_0"/>
      <w:bookmarkStart w:id="847" w:name="Tc_LjPX3Z1zzUKqc_8k3ylIKQ_4_0"/>
      <w:bookmarkStart w:id="848" w:name="Tc_i6aRQkUsmECowBxfl0KjMA_3_5"/>
      <w:bookmarkStart w:id="849" w:name="Tc_pG1cS7oPtkGYimYeE4ljIg_3_2"/>
      <w:bookmarkStart w:id="850" w:name="Tc_fsqHYbL4WkiHmawatLVs1w_2_2"/>
      <w:bookmarkStart w:id="851" w:name="Tc_o9mPzGXDekSK6EX2ip2Hsw_1_2"/>
      <w:bookmarkStart w:id="852" w:name="_df994df1_7081_4b15_b377_b6bca88397c0"/>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31"/>
        <w:gridCol w:w="109"/>
        <w:gridCol w:w="196"/>
        <w:gridCol w:w="601"/>
        <w:gridCol w:w="326"/>
        <w:gridCol w:w="196"/>
        <w:gridCol w:w="646"/>
      </w:tblGrid>
      <w:tr>
        <w:trPr/>
        <w:tc>
          <w:tcPr>
            <w:tcW w:w="8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63185" cy="175260"/>
                      <wp:effectExtent l="0" t="0" r="0" b="0"/>
                      <wp:wrapNone/>
                      <wp:docPr id="212" name="Frame211"/>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4460" cy="175260"/>
                      <wp:effectExtent l="0" t="0" r="0" b="0"/>
                      <wp:wrapNone/>
                      <wp:docPr id="214"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81635" cy="175260"/>
                      <wp:effectExtent l="0" t="0" r="0" b="0"/>
                      <wp:wrapNone/>
                      <wp:docPr id="215" name="Frame2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7"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10210" cy="175260"/>
                      <wp:effectExtent l="0" t="0" r="0" b="0"/>
                      <wp:wrapNone/>
                      <wp:docPr id="218" name="Frame21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1,448</w:t>
            </w:r>
          </w:p>
        </w:tc>
      </w:tr>
      <w:tr>
        <w:trPr/>
        <w:tc>
          <w:tcPr>
            <w:tcW w:w="81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32,722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32,663</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32,868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32,984</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0.04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0.1 million for the three months ended September 30, 2024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53" w:name="Tc_nQGf6TJHU0GM0nk4VApFig_26_5"/>
      <w:bookmarkStart w:id="854" w:name="Tc_vWKxFzB6G0aAG381AifRDA_26_2"/>
      <w:bookmarkStart w:id="855" w:name="Tc_IeR4t8fROkSwTPRYBpMA5g_26_0"/>
      <w:bookmarkStart w:id="856" w:name="Tc_bvGY7sYcX0S11ep_SeQ15Q_25_0"/>
      <w:bookmarkStart w:id="857" w:name="Tc_Ofsu5jeIW0edgzlHDVlU-A_24_0"/>
      <w:bookmarkStart w:id="858" w:name="Tc_vSCdF7keYUKUAR-15Nxa1Q_22_3"/>
      <w:bookmarkStart w:id="859" w:name="Tc_f3wyqAHMukezK_DBy7xMug_22_0"/>
      <w:bookmarkStart w:id="860" w:name="Tc_-wmmoW5xl02x17rdkXbXIw_21_0"/>
      <w:bookmarkStart w:id="861" w:name="Tc_5ExcyX6OdkeDHZw4bCpOFQ_20_0"/>
      <w:bookmarkStart w:id="862" w:name="Tc_o3rdqgMMYEytj4SHlv2arw_19_0"/>
      <w:bookmarkStart w:id="863" w:name="Tc_3ax6kYVzKEmz-nSt6bFPQw_18_3"/>
      <w:bookmarkStart w:id="864" w:name="Tc_sDPIzVCfwUCK7_CHwOUQ6A_18_0"/>
      <w:bookmarkStart w:id="865" w:name="Tc_2_EbWUVx6UePVG0L--6UiQ_17_5"/>
      <w:bookmarkStart w:id="866" w:name="Tc_NjdPFmpExUayR5AWogBarw_17_2"/>
      <w:bookmarkStart w:id="867" w:name="Tc_GHBWFAG60UuuywZt-5Nqmw_17_0"/>
      <w:bookmarkStart w:id="868" w:name="Tc_42t-9mIFQki7eshqdqtLhw_16_0"/>
      <w:bookmarkStart w:id="869" w:name="Tc_lwpxitqsZ0my_ffbZbDSRQ_14_5"/>
      <w:bookmarkStart w:id="870" w:name="Tc_NiS2ff-sf0i9RDTOWa5ZJQ_14_2"/>
      <w:bookmarkStart w:id="871" w:name="Tc_CRPbzSHY8Uq0cJf0r71zOQ_14_0"/>
      <w:bookmarkStart w:id="872" w:name="Tc_FRUILia1LEqsV26dsCjsuQ_12_5"/>
      <w:bookmarkStart w:id="873" w:name="Tc_ZFRhpUbETk-wl6_AE8Cg-Q_12_2"/>
      <w:bookmarkStart w:id="874" w:name="Tc_3vIMvf0Z_0O9O4ayt3jvYA_12_0"/>
      <w:bookmarkStart w:id="875" w:name="Tc_e-t-vcHMDke_p_RxFvpvGw_11_0"/>
      <w:bookmarkStart w:id="876" w:name="Tc_ZDlGSLZpHE-skqRDqQNeEg_9_5"/>
      <w:bookmarkStart w:id="877" w:name="Tc_NGiO154t-UuMfq36kZHWwg_9_2"/>
      <w:bookmarkStart w:id="878" w:name="Tc_NPebSquIlUWv7etBCGXy5w_9_0"/>
      <w:bookmarkStart w:id="879" w:name="Tc_VR97ri5DDU2zVqWUDGBpCA_8_0"/>
      <w:bookmarkStart w:id="880" w:name="Tc_5uc4hCUj30OZ6p9IjBrF7g_7_0"/>
      <w:bookmarkStart w:id="881" w:name="Tc_wzEueH-Cck-QRZet7zkOWw_6_3"/>
      <w:bookmarkStart w:id="882" w:name="Tc_HsklGpvaI0aGr4LDadNaBQ_6_0"/>
      <w:bookmarkStart w:id="883" w:name="Tc_YFYLtQy_t0ayDVRTZAjsFQ_5_0"/>
      <w:bookmarkStart w:id="884" w:name="Tc_PPp2BQViK0OVpee-qpJeqg_4_0"/>
      <w:bookmarkStart w:id="885" w:name="Tc_6Y-0iA-8AEq8wIfzhXgGQw_3_5"/>
      <w:bookmarkStart w:id="886" w:name="Tc_5am3fPwMc0e7zrrhU1709Q_3_2"/>
      <w:bookmarkStart w:id="887" w:name="Tc_CyLBXFSYJkWxb1_4hDfthA_3_0"/>
      <w:bookmarkStart w:id="888" w:name="Tc_-fd1psmSMEunuvGXY6h8AQ_2_0"/>
      <w:bookmarkStart w:id="889" w:name="Tc_4sxfnGjc30eML2-0eIzUFg_1_5"/>
      <w:bookmarkStart w:id="890" w:name="Tc_1z-BuipAi0qmLeL-RD71QQ_1_2"/>
      <w:bookmarkStart w:id="891" w:name="_21080965_84d8_4292_b682_7df29f1ae308"/>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Note 13. Additional Financial Statement Information</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330" w:type="dxa"/>
        <w:jc w:val="left"/>
        <w:tblInd w:w="0" w:type="dxa"/>
        <w:tblLayout w:type="fixed"/>
        <w:tblCellMar>
          <w:top w:w="0" w:type="dxa"/>
          <w:left w:w="0" w:type="dxa"/>
          <w:bottom w:w="0" w:type="dxa"/>
          <w:right w:w="0" w:type="dxa"/>
        </w:tblCellMar>
      </w:tblPr>
      <w:tblGrid>
        <w:gridCol w:w="3871"/>
        <w:gridCol w:w="326"/>
        <w:gridCol w:w="445"/>
        <w:gridCol w:w="1161"/>
        <w:gridCol w:w="32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458085" cy="175260"/>
                      <wp:effectExtent l="0" t="0" r="0" b="0"/>
                      <wp:wrapNone/>
                      <wp:docPr id="219" name="Frame218"/>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82575" cy="175260"/>
                      <wp:effectExtent l="0" t="0" r="0" b="0"/>
                      <wp:wrapNone/>
                      <wp:docPr id="221" name="Frame22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37235" cy="175260"/>
                      <wp:effectExtent l="0" t="0" r="0" b="0"/>
                      <wp:wrapNone/>
                      <wp:docPr id="222" name="Frame221"/>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3515" cy="175260"/>
                      <wp:effectExtent l="0" t="0" r="0" b="0"/>
                      <wp:wrapNone/>
                      <wp:docPr id="224" name="Frame22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9120" cy="175260"/>
                      <wp:effectExtent l="0" t="0" r="0" b="0"/>
                      <wp:wrapNone/>
                      <wp:docPr id="225" name="Frame22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Carryback of EOR tax credit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3,855</w:t>
            </w:r>
          </w:p>
        </w:tc>
      </w:tr>
      <w:tr>
        <w:trPr/>
        <w:tc>
          <w:tcPr>
            <w:tcW w:w="3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Deposit</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use asset under operating lease</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2,763</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945</w:t>
            </w:r>
          </w:p>
        </w:tc>
      </w:tr>
      <w:tr>
        <w:trPr/>
        <w:tc>
          <w:tcPr>
            <w:tcW w:w="3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1,062</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liability</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6,239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deposit of $1.2</w:t>
            </w:r>
            <w:r>
              <w:rPr>
                <w:caps w:val="false"/>
                <w:smallCaps w:val="false"/>
              </w:rPr>
              <w:t xml:space="preserve"> </w:t>
            </w:r>
            <w:r>
              <w:rPr>
                <w:rFonts w:ascii="Times New Roman;Times;serif" w:hAnsi="Times New Roman;Times;serif"/>
                <w:b w:val="false"/>
                <w:i w:val="false"/>
                <w:caps w:val="false"/>
                <w:smallCaps w:val="false"/>
                <w:sz w:val="20"/>
              </w:rPr>
              <w:t>million is related to a long-term gas gathering deposit with Enterprise entered into at closing of the Company’s Jonah Field properties</w:t>
            </w:r>
            <w:r>
              <w:rPr>
                <w:rFonts w:ascii="Times New Roman;Times;serif" w:hAnsi="Times New Roman;Times;serif"/>
                <w:b w:val="false"/>
                <w:i w:val="false"/>
                <w:caps w:val="false"/>
                <w:smallCaps w:val="false"/>
                <w:sz w:val="18"/>
              </w:rPr>
              <w:t>.</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(“ATM”) Equity Sales Program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The Company has not sold any shares of common stock under the ATM Sales Agreement and is not obligated to sell any shares of common stock in the future. The Company intends to use the net proceeds from any sales of common stock for general corporate purposes, including to redeem or repay outstanding indebtedness.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b w:val="false"/>
          <w:i w:val="false"/>
          <w:caps w:val="false"/>
          <w:smallCaps w:val="false"/>
          <w:sz w:val="20"/>
        </w:rPr>
        <w:t>November 11, 2024</w:t>
      </w:r>
      <w:r>
        <w:rPr>
          <w:rFonts w:ascii="Times New Roman;Times;serif" w:hAnsi="Times New Roman;Times;serif"/>
          <w:sz w:val="20"/>
        </w:rPr>
        <w:t>, the Company declared a quarterly cash dividend of $0.120 per share of common stock to shareholders of record on December 13, 2024 and payable on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2" w:name="Item_2_MDA"/>
      <w:bookmarkStart w:id="893" w:name="Item7ManagementsDiscussionandAnalysisofF"/>
      <w:bookmarkStart w:id="894" w:name="_6c2f543d_dc28_45a6_9352_1dd4676b197b"/>
      <w:bookmarkStart w:id="895" w:name="_Hlk179985925"/>
      <w:bookmarkEnd w:id="892"/>
      <w:bookmarkEnd w:id="893"/>
      <w:bookmarkEnd w:id="894"/>
      <w:bookmarkEnd w:id="89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
        <w:bookmarkStart w:id="896" w:name="_Results_of_Operations"/>
        <w:bookmarkEnd w:id="896"/>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897" w:name="_Critical_Accounting_Policies"/>
        <w:bookmarkEnd w:id="897"/>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240"/>
        <w:ind w:left="765"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240"/>
        <w:ind w:left="810" w:right="0" w:hanging="0"/>
        <w:jc w:val="left"/>
        <w:rPr/>
      </w:pPr>
      <w:r>
        <w:rPr/>
        <w:t>“</w:t>
      </w:r>
      <w:r>
        <w:rPr>
          <w:rFonts w:ascii="Times New Roman;Times;serif" w:hAnsi="Times New Roman;Times;serif"/>
          <w:i/>
          <w:sz w:val="20"/>
        </w:rPr>
        <w:t>Current quarter” refers to the three months ended September 30, 2024, our first quarter of fiscal year 2025.</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September 30, 2023, our first quarter of fiscal year 2024.</w:t>
      </w:r>
    </w:p>
    <w:p>
      <w:pPr>
        <w:pStyle w:val="TextBody"/>
        <w:bidi w:val="0"/>
        <w:spacing w:before="0" w:after="240"/>
        <w:ind w:left="0" w:right="0" w:hanging="0"/>
        <w:jc w:val="center"/>
        <w:rPr>
          <w:rFonts w:ascii="Times New Roman;Times;serif" w:hAnsi="Times New Roman;Times;serif"/>
          <w:b/>
          <w:sz w:val="20"/>
        </w:rPr>
      </w:pPr>
      <w:bookmarkStart w:id="898" w:name="ExecutiveOverview_460502"/>
      <w:bookmarkStart w:id="899" w:name="_Hlk179983240"/>
      <w:bookmarkEnd w:id="898"/>
      <w:bookmarkEnd w:id="899"/>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of non-operated </w:t>
      </w:r>
      <w:r>
        <w:rPr>
          <w:rFonts w:ascii="Times New Roman;Times;serif" w:hAnsi="Times New Roman;Times;serif"/>
          <w:color w:val="333333"/>
          <w:sz w:val="20"/>
        </w:rPr>
        <w:t xml:space="preserve">interests in the SCOOP and STACK plays of the Anadarko Basin located in central Oklahoma; </w:t>
      </w:r>
      <w:r>
        <w:rPr>
          <w:rFonts w:ascii="Times New Roman;Times;serif" w:hAnsi="Times New Roman;Times;serif"/>
          <w:sz w:val="20"/>
        </w:rPr>
        <w:t xml:space="preserve">the Chaveroo oilfield in Chaves and Roosevelt Counties of New Mexico;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the Delhi Holt-Bryant Unit in the Delhi Field in Northeast Louisiana; and small overriding royalty interests in four onshore central Texas wells.</w:t>
      </w:r>
    </w:p>
    <w:p>
      <w:pPr>
        <w:pStyle w:val="TextBody"/>
        <w:bidi w:val="0"/>
        <w:spacing w:before="0" w:after="240"/>
        <w:ind w:left="0" w:right="0" w:hanging="0"/>
        <w:jc w:val="left"/>
        <w:rPr>
          <w:rFonts w:ascii="Times New Roman;Times;serif" w:hAnsi="Times New Roman;Times;serif"/>
          <w:sz w:val="20"/>
        </w:rPr>
      </w:pPr>
      <w:bookmarkStart w:id="900" w:name="_Hlk164863535"/>
      <w:bookmarkEnd w:id="900"/>
      <w:r>
        <w:rPr>
          <w:rFonts w:ascii="Times New Roman;Times;serif" w:hAnsi="Times New Roman;Times;serif"/>
          <w:sz w:val="20"/>
        </w:rPr>
        <w:t>Our non-operated interests in the SCOOP and STACK plays consist of oil and natural gas producing properties in the Anadarko basin, where we hold approximately 2.6% average net working interest and approximately 2.0% average net revenue interests located on approximately 103,700 gross or 4,200 net acres (approximately 96%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Chaveroo oilfield consist of a 50% net working interest, with an average associated 41% revenue interest, in approximately 3,200 gross or 1,600 net acres all held by production, associated with five development blocks with the right to acquire the same working interest in additional development locations and associated acreage at a fixed price. The field is operated by PEDEVCO Corp. (“PEDEVCO”).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Jonah Field, a natural gas and NGL property in Sublette County, Wyoming, consist of approximately 20% average net working interest and approximately 15% average net revenue interest located on approximately 5,300 gross or 950 net acres all held by production. The properties are operated by Jonah Energy.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Williston Basin, an oil and natural gas producing property, consist of approximately 39% average net working interest and approximately 33% average net revenue interest located on approximately 141,400 gross or 42,200 net acres (approximately 95% held by production) across Billings, Golden Valley, and McKenzie Counties in North Dakota. The properties are operated by Foundation Energy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Barnett Shale, a natural gas and NGL producing shale reservoir, consist of approximately 17% average net working interest and approximately 14% average net revenue interest (inclusive of small overriding royalty interests). The approximately 123,800 gross or 21,000 net acres are held by production across nine North Texas counties. The oil and natural gas properties are primarily operated by Diversified Energy Company with approximately 10% of wells operated by six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bookmarkStart w:id="901" w:name="_Hlk113686258"/>
      <w:bookmarkEnd w:id="901"/>
      <w:r>
        <w:rPr>
          <w:rFonts w:ascii="Times New Roman;Times;serif" w:hAnsi="Times New Roman;Times;serif"/>
          <w:sz w:val="20"/>
        </w:rPr>
        <w:t>Our non-operated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a subsidiary of Exxon Mobil Corporation. The approximately 13,600 gross acre unitized Delhi Field, of which we hold approximately 3,200 net acres, is located in northeast Louisiana in Franklin, Madison, and Richland Parishes.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rFonts w:ascii="Times New Roman;Times;serif" w:hAnsi="Times New Roman;Times;serif"/>
          <w:b/>
          <w:i/>
          <w:sz w:val="20"/>
        </w:rPr>
      </w:pPr>
      <w:bookmarkStart w:id="902" w:name="_Hlk113687433"/>
      <w:bookmarkEnd w:id="902"/>
      <w:r>
        <w:rPr>
          <w:rFonts w:ascii="Times New Roman;Times;serif" w:hAnsi="Times New Roman;Times;serif"/>
          <w:b/>
          <w:i/>
          <w:sz w:val="20"/>
        </w:rPr>
        <w:t>At-the-Market (“ATM”) Equity Sales Program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October 21, 2024, we entered into an ATM equity Sales Agreement (the “ATM Sales Agreement”) with Roth Capital Partners, LLC (the “Lead Agent”), Northland Securities Inc., and A.G.P./Alliance Global Partners pursuant to which we may issue and sell, from time to time, up to $30.0 million of shares of common stock through or to the Lead Agent, acting as agent or principal. We have not sold any shares of common stock under the ATM Sales agreement and are not obligated to sell any shares of common stock in the future. We intend to use the net proceeds from any sales of common stock for general corporate purposes, including to redeem or repay outstanding indebtedness.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11, 2024, Evolution’s Board of Directors approved and declared a quarterly dividend of $0.12 per common share payable December 31, 2024.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and natural gas prices have been, and we expect may continue to be, volatile. Lower oil and natural gas prices not only decrease our revenues,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as well as the dividend rate determined by the Board of Directors each quarter.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times, we maintain cash balances in excess of the U.S. Federal Deposit Insurance Corporation (“FDIC”). We utilize insured cash sweep deposits to maximize the amount of our cash that is protected by FDIC insurance.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factors and events, we cannot reasonably estimate the period of time that certain market conditions will persist. Nor can we predict the broader impact of liquidity concerns around financial institutions; the impact to long-term cost of capital or economic growth as a result of the Federal Reserve’s policies; or the impact on the commodity prices that we realize. </w:t>
      </w:r>
    </w:p>
    <w:p>
      <w:pPr>
        <w:pStyle w:val="TextBody"/>
        <w:bidi w:val="0"/>
        <w:spacing w:before="240" w:after="240"/>
        <w:ind w:left="0" w:right="0" w:hanging="0"/>
        <w:jc w:val="center"/>
        <w:rPr>
          <w:rFonts w:ascii="Times New Roman;Times;serif" w:hAnsi="Times New Roman;Times;serif"/>
          <w:b/>
          <w:sz w:val="20"/>
        </w:rPr>
      </w:pPr>
      <w:bookmarkStart w:id="903" w:name="LiquidityandCapitalResources"/>
      <w:bookmarkEnd w:id="903"/>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we had $6.9 million in cash and cash equivalents and $39.5 million outstanding borrowings on our Senior Secured Credit Facility compared to $6.4 million in cash and cash equivalents and $39.5 million borrowings outstanding on our Senior Secured Credit Facility at June 30, 2024. Our primary sources of liquidity and capital resources during the three months ended September 30, 2024 were cash provided by operations. Our primary uses of liquidity and capital resources for the three months ended September 30, 2024 were our cash dividend payments to our common stockholders and development capital expenditures. As of September 30, 2024, working capital was $8.5 million, an increase of $2.6 million from working capital of $5.9 million as of June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has a maximum capacity of $50.0 million subject to a borrowing base determined by the lender based on the value of our oil and natural gas properties. The Senior Secured Credit Facility has a current borrowing base of $50.0 million, with $39.5 million drawn as of September 30, 2024. The Senior Secured Credit Facility is secured by substantially all of our oil and natural gas properties and matures on April 9,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Borrowings bear interest, at our option, at either the SOFR plus 2.80% or the Prime Rate, as defined under the Senior Secured Credit Facility, plus 1.0%.  </w:t>
      </w:r>
      <w:r>
        <w:rPr>
          <w:rFonts w:ascii="Times New Roman;Times;serif" w:hAnsi="Times New Roman;Times;serif"/>
          <w:sz w:val="20"/>
          <w:shd w:fill="FFFFFF" w:val="clear"/>
        </w:rPr>
        <w:t>For the three months ended September 30, 2024, the weighted average interest on our borrowings was 8.09%.</w:t>
      </w:r>
      <w:r>
        <w:rPr>
          <w:rFonts w:ascii="Times New Roman;Times;serif" w:hAnsi="Times New Roman;Times;serif"/>
          <w:sz w:val="20"/>
        </w:rPr>
        <w:t xml:space="preserve">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September 30, 2024,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Credit Agreement contains hedging requirements that apply when there is 25% or more utilization of the Margined Collateral Value, as defined in the Senior Credit Agreement, to the extent it exceeds the borrowing base then in effect. At each redetermination, our Margined Collateral Value takes into account the estimated value of our oil and natural gas properties, proved developed reserves, total indebtedness, and other relevant factors consistent with customary oil and natural gas lending criteria. 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each of expected crude oil and natural gas production each month over that period. Thus, we have the option to choose whether to hedge 40% of expected crude oil production or 25% each of expected crude oil and natural gas production.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existing working capital and, as needed, borrowings under our Senior Secured Credit Facility and any proceeds from ATM Sales Agreement (as described in “</w:t>
      </w:r>
      <w:r>
        <w:rPr>
          <w:rFonts w:ascii="Times New Roman;Times;serif" w:hAnsi="Times New Roman;Times;serif"/>
          <w:i/>
          <w:sz w:val="20"/>
        </w:rPr>
        <w:t>Recent Developments</w:t>
      </w:r>
      <w:r>
        <w:rPr>
          <w:rFonts w:ascii="Times New Roman;Times;serif" w:hAnsi="Times New Roman;Times;serif"/>
          <w:sz w:val="20"/>
        </w:rPr>
        <w:t>”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$10.5 million as of September 30, 2024. We also have an effective shelf registration statement with the SEC under which we may issue up to $500.0 million of new debt or equity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We have not sold any shares of our common stock under the ATM Sales Agreement and are not obligated to sell any shares of common stock in the future.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instituted a cash dividend on common stock in December 2013. We have since paid 44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November 11, 2024, the Board of Directors declared a quarterly cash dividend of $0.12 per share of common stock to shareholders of record on December 13, 2024 and payable on December 31, 2024.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904" w:name="_Hlk117670278"/>
      <w:bookmarkEnd w:id="904"/>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ending September 30, 2024, we incurred $1.0 million on development capital expenditures. During the first quarter of 2024, capital spending occurred at our fields, including the SCOOP/STACK properties where our operators are actively drilling and have brought seven gross wells online. Based on discussions with our operators, we expect capital workover projects to continue in most of our fields throughout the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Overall, for fiscal year 2025, we expect budgeted capital expenditures to be in the range of $12.5 million to $14.5 million, which excludes any potential acquisitions. Our expected capital expenditures for fiscal year 2025 include the seven gross wells brought online at our SCOOP/STACK properties, discussed above, bringing an additional eight gross wells online at our SCOOP/STACK properties, the drilling and completion of four new wells at Chaveroo Field, and the drilling and completion of one new well at Delhi Field Test Site V.</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September 30, 2024 were $79.40 per barrel of oil, $2.21 per MMBtu of natural gas and $23.63 per barrel of NGLs. As of September 30, 2024, our capitalized costs of oil and natural gas properties were below the full cost valuation ceiling. If commodity price levels were to substantially decline from the 12-month average first day of the month pricing levels as of September 30, 2024 and remain down for a prolonged period of time, our valuation ceiling over our capitalized costs may be reduced and adversely impact our ceiling test results in future quarters. While a 10% reduction in respective commodity prices at September 30, 2024, while all other factors remained constant,</w:t>
      </w:r>
      <w:r>
        <w:rPr>
          <w:rFonts w:ascii="Times New Roman;Times;serif" w:hAnsi="Times New Roman;Times;serif"/>
          <w:sz w:val="20"/>
          <w:shd w:fill="FFFFFF" w:val="clear"/>
        </w:rPr>
        <w:t xml:space="preserve"> would not have generated an impairment, </w:t>
      </w:r>
      <w:r>
        <w:rPr>
          <w:rFonts w:ascii="Times New Roman;Times;serif" w:hAnsi="Times New Roman;Times;serif"/>
          <w:sz w:val="20"/>
        </w:rPr>
        <w:t>we cannot give assurance that a write-down of capitalized oil and natural gas properties will not be required in the future.</w:t>
      </w:r>
      <w:r>
        <w:rPr>
          <w:rFonts w:ascii="Times New Roman;Times;serif" w:hAnsi="Times New Roman;Times;serif"/>
          <w:sz w:val="20"/>
          <w:shd w:fill="FFFFFF" w:val="clea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8260" w:type="dxa"/>
        <w:jc w:val="left"/>
        <w:tblInd w:w="0" w:type="dxa"/>
        <w:tblLayout w:type="fixed"/>
        <w:tblCellMar>
          <w:top w:w="0" w:type="dxa"/>
          <w:left w:w="0" w:type="dxa"/>
          <w:bottom w:w="0" w:type="dxa"/>
          <w:right w:w="0" w:type="dxa"/>
        </w:tblCellMar>
      </w:tblPr>
      <w:tblGrid>
        <w:gridCol w:w="3796"/>
        <w:gridCol w:w="326"/>
        <w:gridCol w:w="291"/>
        <w:gridCol w:w="937"/>
        <w:gridCol w:w="484"/>
        <w:gridCol w:w="291"/>
        <w:gridCol w:w="937"/>
        <w:gridCol w:w="326"/>
        <w:gridCol w:w="196"/>
        <w:gridCol w:w="67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410460" cy="175260"/>
                      <wp:effectExtent l="0" t="0" r="0" b="0"/>
                      <wp:wrapNone/>
                      <wp:docPr id="226" name="Frame225"/>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4785" cy="175260"/>
                      <wp:effectExtent l="0" t="0" r="0" b="0"/>
                      <wp:wrapNone/>
                      <wp:docPr id="228" name="Frame22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94995" cy="175260"/>
                      <wp:effectExtent l="0" t="0" r="0" b="0"/>
                      <wp:wrapNone/>
                      <wp:docPr id="229" name="Frame22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07340" cy="175260"/>
                      <wp:effectExtent l="0" t="0" r="0" b="0"/>
                      <wp:wrapNone/>
                      <wp:docPr id="230" name="Frame229"/>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4785" cy="175260"/>
                      <wp:effectExtent l="0" t="0" r="0" b="0"/>
                      <wp:wrapNone/>
                      <wp:docPr id="231" name="Frame23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4995" cy="175260"/>
                      <wp:effectExtent l="0" t="0" r="0" b="0"/>
                      <wp:wrapNone/>
                      <wp:docPr id="232" name="Frame231"/>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4460" cy="175260"/>
                      <wp:effectExtent l="0" t="0" r="0" b="0"/>
                      <wp:wrapNone/>
                      <wp:docPr id="234" name="Frame2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484" w:type="dxa"/>
            <w:tcBorders/>
            <w:vAlign w:val="center"/>
          </w:tcPr>
          <w:p>
            <w:pPr>
              <w:pStyle w:val="TableContents"/>
              <w:bidi w:val="0"/>
              <w:spacing w:before="0" w:after="1"/>
              <w:ind w:left="0" w:right="0" w:hanging="0"/>
              <w:jc w:val="left"/>
              <w:rPr/>
            </w:pPr>
            <w:r>
              <w:rPr/>
              <w:t>    </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7,614</w:t>
            </w:r>
          </w:p>
        </w:tc>
        <w:tc>
          <w:tcPr>
            <w:tcW w:w="484"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3,290</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c>
          <w:tcPr>
            <w:tcW w:w="484"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(4,121)</w:t>
            </w:r>
          </w:p>
        </w:tc>
        <w:tc>
          <w:tcPr>
            <w:tcW w:w="484"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484"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2,112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three months ended September 30, 2024 increased $3.3 million compared to the three months ended September 30, 2023 primarily d</w:t>
      </w:r>
      <w:r>
        <w:rPr>
          <w:rFonts w:ascii="Times New Roman;Times;serif" w:hAnsi="Times New Roman;Times;serif"/>
          <w:sz w:val="20"/>
          <w:shd w:fill="FFFFFF" w:val="clear"/>
        </w:rPr>
        <w:t>ue to an increase in revenues. Total revenues increased $1.3 million as compared to the prior year period primarily due increased production volumes partially offset by lower commodity prices. Our average daily production increased 1,021 BOEPD or 15.8% from the prior year period; however our average realized price per barrel of oil equivalent (“BOE”) decreased $2.85, or 8.2% from the prior year period.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three months ended September 30, 2024 increased $1.2 million compared to the three months ended September 30, 2023 primarily due to the addition of our SCOOP/STACK properties since the prior year period and the active drilling and completion projects of our operators in the field.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in financing activities were approximately $4.1 million for each of the three months ended September 30, 2024 and 2023. For each of the three months ended, September 30, 2024 and 2023, we paid $4.0 million in cash dividends to our common stockholders.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240" w:after="240"/>
        <w:ind w:left="0" w:right="0" w:hanging="0"/>
        <w:jc w:val="center"/>
        <w:rPr>
          <w:rFonts w:ascii="Times New Roman;Times;serif" w:hAnsi="Times New Roman;Times;serif"/>
          <w:b/>
          <w:sz w:val="20"/>
        </w:rPr>
      </w:pPr>
      <w:bookmarkStart w:id="905" w:name="ResultsofOperations"/>
      <w:bookmarkStart w:id="906" w:name="ResultsofOperations_203032"/>
      <w:bookmarkEnd w:id="905"/>
      <w:bookmarkEnd w:id="906"/>
      <w:r>
        <w:rPr>
          <w:rFonts w:ascii="Times New Roman;Times;serif" w:hAnsi="Times New Roman;Times;serif"/>
          <w:b/>
          <w:sz w:val="20"/>
        </w:rPr>
        <w:t>Three Months Ended September 30, 2024 and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$2.1 million and $1.5 million for the three months ended September 30, 2024 and 2023,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932" w:type="dxa"/>
        <w:jc w:val="left"/>
        <w:tblInd w:w="0" w:type="dxa"/>
        <w:tblLayout w:type="fixed"/>
        <w:tblCellMar>
          <w:top w:w="0" w:type="dxa"/>
          <w:left w:w="0" w:type="dxa"/>
          <w:bottom w:w="0" w:type="dxa"/>
          <w:right w:w="0" w:type="dxa"/>
        </w:tblCellMar>
      </w:tblPr>
      <w:tblGrid>
        <w:gridCol w:w="4186"/>
        <w:gridCol w:w="326"/>
        <w:gridCol w:w="196"/>
        <w:gridCol w:w="601"/>
        <w:gridCol w:w="326"/>
        <w:gridCol w:w="196"/>
        <w:gridCol w:w="601"/>
        <w:gridCol w:w="326"/>
        <w:gridCol w:w="196"/>
        <w:gridCol w:w="631"/>
        <w:gridCol w:w="326"/>
        <w:gridCol w:w="707"/>
        <w:gridCol w:w="314"/>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7" name="Frame2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81635" cy="175260"/>
                      <wp:effectExtent l="0" t="0" r="0" b="0"/>
                      <wp:wrapNone/>
                      <wp:docPr id="238" name="Frame2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40" name="Frame2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1635" cy="175260"/>
                      <wp:effectExtent l="0" t="0" r="0" b="0"/>
                      <wp:wrapNone/>
                      <wp:docPr id="241" name="Frame2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243"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00685" cy="175260"/>
                      <wp:effectExtent l="0" t="0" r="0" b="0"/>
                      <wp:wrapNone/>
                      <wp:docPr id="244" name="Frame2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48945" cy="175260"/>
                      <wp:effectExtent l="0" t="0" r="0" b="0"/>
                      <wp:wrapNone/>
                      <wp:docPr id="246" name="Frame245"/>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9390" cy="175260"/>
                      <wp:effectExtent l="0" t="0" r="0" b="0"/>
                      <wp:wrapNone/>
                      <wp:docPr id="247" name="Frame24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(1,267)</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21,896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20,601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1,295</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1,415</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2,471.9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77.3</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(0.18)</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(0.09)</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0.80</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$21.9 million and $20.6 million for the three months ended September 30, 2024 and 2023, respectively. The increase in revenues is primarily due to an increase in production volumes partially offset by the decrease in our average realized price per BOE. Average daily equivalent production increased 15.8% from 6,457 BOEPD in the prior year period to 7,478 BOEPD in the current period </w:t>
      </w:r>
      <w:r>
        <w:rPr>
          <w:rFonts w:ascii="Times" w:hAnsi="Times"/>
          <w:sz w:val="20"/>
        </w:rPr>
        <w:t xml:space="preserve">as a result of </w:t>
      </w:r>
      <w:r>
        <w:rPr>
          <w:rFonts w:ascii="Times New Roman;Times;serif" w:hAnsi="Times New Roman;Times;serif"/>
          <w:sz w:val="20"/>
        </w:rPr>
        <w:t>t</w:t>
      </w:r>
      <w:r>
        <w:rPr>
          <w:rFonts w:ascii="Times New Roman;Times;serif" w:hAnsi="Times New Roman;Times;serif"/>
          <w:sz w:val="20"/>
          <w:shd w:fill="FFFFFF" w:val="clear"/>
        </w:rPr>
        <w:t xml:space="preserve">he acquisitions of non-operated working interests in the SCOOP/STACK properties in February 2024 and first production at our wells in the Chaveroo Field in early February 2024, which collectively increased production for the three months ended September 30, 2024 by approximately 1,600 BOEPD. The overall increase in production is partially offset by </w:t>
      </w:r>
      <w:r>
        <w:rPr>
          <w:rFonts w:ascii="Times" w:hAnsi="Times"/>
          <w:sz w:val="20"/>
        </w:rPr>
        <w:t xml:space="preserve">natural production declines in our other fields combined with reduced oil recovery at Delhi Field as the field experienced reduced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xml:space="preserve"> </w:t>
      </w:r>
      <w:r>
        <w:rPr>
          <w:rFonts w:ascii="Times" w:hAnsi="Times"/>
          <w:sz w:val="20"/>
        </w:rPr>
        <w:t xml:space="preserve">injected volumes during the quarter. Similar to last quarter, downtime from one of the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w:t>
      </w:r>
      <w:r>
        <w:rPr>
          <w:rFonts w:ascii="Times" w:hAnsi="Times"/>
          <w:sz w:val="20"/>
        </w:rPr>
        <w:t xml:space="preserve">recycle compressors at Delhi Field reduced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w:t>
      </w:r>
      <w:r>
        <w:rPr>
          <w:rFonts w:ascii="Times" w:hAnsi="Times"/>
          <w:sz w:val="20"/>
        </w:rPr>
        <w:t xml:space="preserve">injection volumes for part of the current quarter. The compressor was replaced, and full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w:t>
      </w:r>
      <w:r>
        <w:rPr>
          <w:rFonts w:ascii="Times" w:hAnsi="Times"/>
          <w:sz w:val="20"/>
        </w:rPr>
        <w:t xml:space="preserve">recycling resumed in mid-July 2024. The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w:t>
      </w:r>
      <w:r>
        <w:rPr>
          <w:rFonts w:ascii="Times" w:hAnsi="Times"/>
          <w:sz w:val="20"/>
        </w:rPr>
        <w:t xml:space="preserve">purchase pipeline was taken offline for preventative maintenance at the end of February 2024 and has remained down since then. The operator anticipates resuming </w:t>
      </w:r>
      <w:r>
        <w:rPr>
          <w:rFonts w:ascii="Times New Roman;Times;serif" w:hAnsi="Times New Roman;Times;serif"/>
          <w:sz w:val="20"/>
        </w:rPr>
        <w:t>CO</w:t>
      </w:r>
      <w:r>
        <w:rPr>
          <w:rFonts w:ascii="Times New Roman;Times;serif" w:hAnsi="Times New Roman;Times;serif"/>
          <w:sz w:val="15"/>
        </w:rPr>
        <w:t>2</w:t>
      </w:r>
      <w:r>
        <w:rPr>
          <w:rFonts w:ascii="Times New Roman;Times;serif" w:hAnsi="Times New Roman;Times;serif"/>
          <w:sz w:val="20"/>
        </w:rPr>
        <w:t> </w:t>
      </w:r>
      <w:r>
        <w:rPr>
          <w:rFonts w:ascii="Times" w:hAnsi="Times"/>
          <w:sz w:val="20"/>
        </w:rPr>
        <w:t>purchases in October 2025. Our average realized commodity price (excluding the impact of derivative contracts) for the three months ended September 30, 2024 decreased approximately $2.85 per BOE, or 8.2%, over</w:t>
      </w:r>
      <w:r>
        <w:rPr>
          <w:rFonts w:ascii="Times New Roman;Times;serif" w:hAnsi="Times New Roman;Times;serif"/>
          <w:sz w:val="20"/>
        </w:rPr>
        <w:t xml:space="preserve"> the prior year period. </w:t>
      </w:r>
      <w:r>
        <w:rPr>
          <w:rFonts w:ascii="Times" w:hAnsi="Times"/>
          <w:sz w:val="20"/>
        </w:rPr>
        <w:t xml:space="preserve">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29.9% from the year-ago quarter, which was the largest portion of the driver of the decrease in revenues.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$1.4 million and $1.3 million for the three months ended September 30, 2024 and 2023, respectively. On a per unit basis, ad valorem and production taxes were $2.06 per BOE and $2.15 per BOE for the three months ended September 30, 2024 and 2023, respectively. The decrease in ad valorem and production taxes on a per BOE basis is primarily due to decreases in oil and natural gas prices since the </w:t>
      </w:r>
      <w:r>
        <w:rPr>
          <w:rFonts w:ascii="Times" w:hAnsi="Times"/>
          <w:sz w:val="20"/>
        </w:rPr>
        <w:t>year-ago quarter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Gathering, transportation and other costs were $2.7 million for the three months ended September 30, 2024 compared to $1.8 million for the three months ended September 30, 2023. Costs include gathering, transportation and processing fees we incur primarily for our natural gas producing properties. The increase is primarily due to t</w:t>
      </w:r>
      <w:r>
        <w:rPr>
          <w:rFonts w:ascii="Times New Roman;Times;serif" w:hAnsi="Times New Roman;Times;serif"/>
          <w:sz w:val="20"/>
          <w:shd w:fill="FFFFFF" w:val="clear"/>
        </w:rPr>
        <w:t>he acquisitions of non-operated working interests in the SCOOP/STACK plays in February 2024 which added $0.5 million in g</w:t>
      </w:r>
      <w:r>
        <w:rPr>
          <w:rFonts w:ascii="Times New Roman;Times;serif" w:hAnsi="Times New Roman;Times;serif"/>
          <w:sz w:val="20"/>
        </w:rPr>
        <w:t xml:space="preserve">athering transportation and other costs for the three months ended September 30, 2024. On a per unit basis, gathering transportation and other costs were $3.89 per BOE and $3.09 per BOE for the three months ended September 30, 2024 and 2023,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lease operating costs decreased $1.1 million, or 12.2%, compared to the </w:t>
      </w:r>
      <w:r>
        <w:rPr>
          <w:rFonts w:ascii="Times" w:hAnsi="Times"/>
          <w:sz w:val="20"/>
        </w:rPr>
        <w:t>year-ago quarter</w:t>
      </w:r>
      <w:r>
        <w:rPr>
          <w:rFonts w:ascii="Times New Roman;Times;serif" w:hAnsi="Times New Roman;Times;serif"/>
          <w:sz w:val="20"/>
        </w:rPr>
        <w:t xml:space="preserve"> primarily due to decreased CO</w:t>
      </w:r>
      <w:r>
        <w:rPr>
          <w:rFonts w:ascii="Times New Roman;Times;serif" w:hAnsi="Times New Roman;Times;serif"/>
          <w:sz w:val="15"/>
        </w:rPr>
        <w:t>2</w:t>
      </w:r>
      <w:r>
        <w:rPr>
          <w:rFonts w:ascii="Times New Roman;Times;serif" w:hAnsi="Times New Roman;Times;serif"/>
          <w:sz w:val="20"/>
        </w:rPr>
        <w:t xml:space="preserve"> purchases at Delhi. We did not purchase any CO</w:t>
      </w:r>
      <w:r>
        <w:rPr>
          <w:rFonts w:ascii="Times New Roman;Times;serif" w:hAnsi="Times New Roman;Times;serif"/>
          <w:sz w:val="15"/>
        </w:rPr>
        <w:t xml:space="preserve">2 </w:t>
      </w:r>
      <w:r>
        <w:rPr>
          <w:rFonts w:ascii="Times New Roman;Times;serif" w:hAnsi="Times New Roman;Times;serif"/>
          <w:sz w:val="20"/>
        </w:rPr>
        <w:t xml:space="preserve">at Delhi for the three months ended September 30, 2024 compared to purchases of $1.6 million in the </w:t>
      </w:r>
      <w:r>
        <w:rPr>
          <w:rFonts w:ascii="Times" w:hAnsi="Times"/>
          <w:sz w:val="20"/>
        </w:rPr>
        <w:t>year-ago quarter</w:t>
      </w:r>
      <w:r>
        <w:rPr>
          <w:rFonts w:ascii="Times New Roman;Times;serif" w:hAnsi="Times New Roman;Times;serif"/>
          <w:sz w:val="20"/>
        </w:rPr>
        <w:t xml:space="preserve">. On a per unit basis, other lease operating costs decreased to $11.19 per BOE for the three months ended September 30, 2024 from $14.77 per BOE in the year-ago quarter.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$1.4 million or 36.2% from $3.9 million to $5.3 million for the three months ended September 30, 2024 primarily due to an increase in the depletion rate. </w:t>
      </w:r>
      <w:r>
        <w:rPr>
          <w:rFonts w:ascii="Times New Roman;Times;serif" w:hAnsi="Times New Roman;Times;serif"/>
          <w:sz w:val="20"/>
          <w:shd w:fill="FFFFFF" w:val="clear"/>
        </w:rPr>
        <w:t xml:space="preserve">On a per unit basis, depletion expense was $7.74 per BOE and $6.58 per BOE for the three months ended September 30, 2024 and 2023, respectively. The depletion rate of our unit of production calculation increased due to an increase in our depletable base due to our </w:t>
      </w:r>
      <w:r>
        <w:rPr>
          <w:rFonts w:ascii="Times New Roman;Times;serif" w:hAnsi="Times New Roman;Times;serif"/>
          <w:sz w:val="20"/>
        </w:rPr>
        <w:t>SCOOP/STACK Acquisitions and</w:t>
      </w:r>
      <w:r>
        <w:rPr>
          <w:rFonts w:ascii="Times New Roman;Times;serif" w:hAnsi="Times New Roman;Times;serif"/>
          <w:sz w:val="20"/>
          <w:shd w:fill="FFFFFF" w:val="clear"/>
        </w:rPr>
        <w:t xml:space="preserve"> capital expenditures since the </w:t>
      </w:r>
      <w:r>
        <w:rPr>
          <w:rFonts w:ascii="Times" w:hAnsi="Times"/>
          <w:sz w:val="20"/>
        </w:rPr>
        <w:t>year-ago quarter</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three months ended September 30, 2024 and 2023 were $2.0 million and $2.1 million, respectively. On a per unit basis, general and administrative expenses were $2.86 per BOE and $3.59 per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BOE for the three months ended September 30, 2024 and 2023, respectively. The decrease primarily relates to lower transaction and consulting fees.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three months ended September 30, 2024 increased $0.1 million to $0.6 million compared to $0.5 million for the </w:t>
      </w:r>
      <w:r>
        <w:rPr>
          <w:rFonts w:ascii="Times" w:hAnsi="Times"/>
          <w:sz w:val="20"/>
        </w:rPr>
        <w:t>year-ago quarter</w:t>
      </w:r>
      <w:r>
        <w:rPr>
          <w:rFonts w:ascii="Times New Roman;Times;serif" w:hAnsi="Times New Roman;Times;serif"/>
          <w:sz w:val="20"/>
        </w:rPr>
        <w:t>. The increase is associated with new awards granted since the year-ago quarter.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As a result of our SCOOP/STACK Acquisitions in February 2024 and the corresponding borrowings on our Senior Secured Credit Facility, we were required by terms in our Senior Secured Credit Facility to hedge a portion of our production. The decrease in forward commodity prices as of September 30, 2024, resulted in an unrealized gain on the mark-to-market of our hedges. As of September 30, 2024, we had $1.5 million derivative assets, $1.3 million of which was classified as current, and $0.5 million derivative liabilities, $0.2 million of which was classified as current.</w:t>
      </w:r>
    </w:p>
    <w:p>
      <w:pPr>
        <w:pStyle w:val="TextBody"/>
        <w:bidi w:val="0"/>
        <w:spacing w:before="0" w:after="240"/>
        <w:ind w:left="0" w:right="0" w:hanging="0"/>
        <w:jc w:val="left"/>
        <w:rPr/>
      </w:pPr>
      <w:r>
        <w:rPr/>
        <w:t>​</w:t>
      </w:r>
    </w:p>
    <w:tbl>
      <w:tblPr>
        <w:tblW w:w="9396" w:type="dxa"/>
        <w:jc w:val="left"/>
        <w:tblInd w:w="0" w:type="dxa"/>
        <w:tblLayout w:type="fixed"/>
        <w:tblCellMar>
          <w:top w:w="0" w:type="dxa"/>
          <w:left w:w="0" w:type="dxa"/>
          <w:bottom w:w="0" w:type="dxa"/>
          <w:right w:w="0" w:type="dxa"/>
        </w:tblCellMar>
      </w:tblPr>
      <w:tblGrid>
        <w:gridCol w:w="4861"/>
        <w:gridCol w:w="326"/>
        <w:gridCol w:w="196"/>
        <w:gridCol w:w="541"/>
        <w:gridCol w:w="326"/>
        <w:gridCol w:w="196"/>
        <w:gridCol w:w="511"/>
        <w:gridCol w:w="326"/>
        <w:gridCol w:w="212"/>
        <w:gridCol w:w="554"/>
        <w:gridCol w:w="326"/>
        <w:gridCol w:w="640"/>
        <w:gridCol w:w="381"/>
      </w:tblGrid>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4460" cy="175260"/>
                      <wp:effectExtent l="0" t="0" r="0" b="0"/>
                      <wp:wrapNone/>
                      <wp:docPr id="249" name="Frame2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43535" cy="175260"/>
                      <wp:effectExtent l="0" t="0" r="0" b="0"/>
                      <wp:wrapNone/>
                      <wp:docPr id="250" name="Frame2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4460" cy="175260"/>
                      <wp:effectExtent l="0" t="0" r="0" b="0"/>
                      <wp:wrapNone/>
                      <wp:docPr id="252" name="Frame2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24485" cy="175260"/>
                      <wp:effectExtent l="0" t="0" r="0" b="0"/>
                      <wp:wrapNone/>
                      <wp:docPr id="253" name="Frame2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4620" cy="175260"/>
                      <wp:effectExtent l="0" t="0" r="0" b="0"/>
                      <wp:wrapNone/>
                      <wp:docPr id="255" name="Frame25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51790" cy="175260"/>
                      <wp:effectExtent l="0" t="0" r="0" b="0"/>
                      <wp:wrapNone/>
                      <wp:docPr id="256" name="Frame25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6400" cy="175260"/>
                      <wp:effectExtent l="0" t="0" r="0" b="0"/>
                      <wp:wrapNone/>
                      <wp:docPr id="258" name="Frame25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1935" cy="175260"/>
                      <wp:effectExtent l="0" t="0" r="0" b="0"/>
                      <wp:wrapNone/>
                      <wp:docPr id="259" name="Frame25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1,868</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(0.34)</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(6.46)</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$0.8 million for the three months ended September 30, 2024 compared to the prior year period primarily due to borrowings drawn on our Senior Secured Credit Facility to finance our SCOOP/STACK Acquisitions in February 2024. In addition, the weighted average interest rate on our borrowings was 8.09% for the three 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2024, we recognized income tax expense of $0.8 million on net income before income taxes of $2.9 million compared to income tax expense of $0.5 million on net income before income taxes of $1.9 million for the three months ended September 30, 2023. The effective tax rates were 28.4% and 23.9% for three months ended September 30, 2024 and 2023, respectively. The effective tax rate increased compared to the year-ago quarter as projected state income taxes have become a larger component of our overall income tax expense during the current quarter.</w:t>
      </w:r>
    </w:p>
    <w:p>
      <w:pPr>
        <w:pStyle w:val="TextBody"/>
        <w:bidi w:val="0"/>
        <w:spacing w:before="0" w:after="240"/>
        <w:ind w:left="0" w:right="0" w:hanging="0"/>
        <w:jc w:val="center"/>
        <w:rPr>
          <w:rFonts w:ascii="Times New Roman;Times;serif" w:hAnsi="Times New Roman;Times;serif"/>
          <w:b/>
          <w:sz w:val="20"/>
        </w:rPr>
      </w:pPr>
      <w:bookmarkStart w:id="907" w:name="CriticalAccountingPoliciesandEstimates"/>
      <w:bookmarkStart w:id="908" w:name="CriticalAccountingPoliciesandEstimates_6"/>
      <w:bookmarkEnd w:id="907"/>
      <w:bookmarkEnd w:id="908"/>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2024.</w:t>
      </w:r>
    </w:p>
    <w:p>
      <w:pPr>
        <w:pStyle w:val="TextBody"/>
        <w:bidi w:val="0"/>
        <w:spacing w:before="0" w:after="240"/>
        <w:ind w:left="0" w:right="0" w:hanging="0"/>
        <w:jc w:val="left"/>
        <w:rPr>
          <w:rFonts w:ascii="Times New Roman;Times;serif" w:hAnsi="Times New Roman;Times;serif"/>
          <w:b/>
          <w:sz w:val="20"/>
        </w:rPr>
      </w:pPr>
      <w:bookmarkStart w:id="909" w:name="Item_3_Quantitative"/>
      <w:bookmarkStart w:id="910" w:name="Item7AQuantitativeandQualitativeDisclosu"/>
      <w:bookmarkStart w:id="911" w:name="_163a51d7_c188_4c87_87ed_3492a2af24fc"/>
      <w:bookmarkEnd w:id="909"/>
      <w:bookmarkEnd w:id="910"/>
      <w:bookmarkEnd w:id="911"/>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2024 and 2023,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SOFR plus 2.80%,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2" w:name="Item4ControlsandProcedures"/>
      <w:bookmarkStart w:id="913" w:name="_d06fcc69_5ec3_443f_9833_e6e852eb6683"/>
      <w:bookmarkEnd w:id="912"/>
      <w:bookmarkEnd w:id="91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September 30, 2024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September 30, 2024, we have determined that there have been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914" w:name="Part_II_OTHER_INFORMATION"/>
      <w:bookmarkEnd w:id="91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915" w:name="Item1LegalProceedings"/>
      <w:bookmarkStart w:id="916" w:name="_9447c8ef_9967_4a8a_b6e6_9cdff6f9a1a7"/>
      <w:bookmarkEnd w:id="915"/>
      <w:bookmarkEnd w:id="916"/>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917" w:name="Item1ARiskFactors_401633"/>
      <w:bookmarkStart w:id="918" w:name="_cb427152_0be5_461a_98fb_908b6f635a1a"/>
      <w:bookmarkStart w:id="919" w:name="_Supplemental_Disclosure_about"/>
      <w:bookmarkEnd w:id="917"/>
      <w:bookmarkEnd w:id="918"/>
      <w:bookmarkEnd w:id="919"/>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2024 includes a detailed description of our risk factors.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0" w:name="Item2UnregisteredSalesofEquitySecurities"/>
      <w:bookmarkStart w:id="921" w:name="_1905a177_ba4f_4a85_a58e_cb5e017b52ab"/>
      <w:bookmarkEnd w:id="920"/>
      <w:bookmarkEnd w:id="92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September 30, 2024.</w:t>
      </w:r>
    </w:p>
    <w:tbl>
      <w:tblPr>
        <w:tblW w:w="8419" w:type="dxa"/>
        <w:jc w:val="left"/>
        <w:tblInd w:w="0" w:type="dxa"/>
        <w:tblLayout w:type="fixed"/>
        <w:tblCellMar>
          <w:top w:w="0" w:type="dxa"/>
          <w:left w:w="0" w:type="dxa"/>
          <w:bottom w:w="0" w:type="dxa"/>
          <w:right w:w="0" w:type="dxa"/>
        </w:tblCellMar>
      </w:tblPr>
      <w:tblGrid>
        <w:gridCol w:w="1276"/>
        <w:gridCol w:w="109"/>
        <w:gridCol w:w="1426"/>
        <w:gridCol w:w="109"/>
        <w:gridCol w:w="452"/>
        <w:gridCol w:w="973"/>
        <w:gridCol w:w="109"/>
        <w:gridCol w:w="1696"/>
        <w:gridCol w:w="109"/>
        <w:gridCol w:w="469"/>
        <w:gridCol w:w="1691"/>
      </w:tblGrid>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05510" cy="175260"/>
                      <wp:effectExtent l="0" t="0" r="0" b="0"/>
                      <wp:wrapNone/>
                      <wp:docPr id="260" name="Frame25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17855" cy="175260"/>
                      <wp:effectExtent l="0" t="0" r="0" b="0"/>
                      <wp:wrapNone/>
                      <wp:docPr id="261" name="Frame26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076960" cy="175260"/>
                      <wp:effectExtent l="0" t="0" r="0" b="0"/>
                      <wp:wrapNone/>
                      <wp:docPr id="262" name="Frame26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073785" cy="175260"/>
                      <wp:effectExtent l="0" t="0" r="0" b="0"/>
                      <wp:wrapNone/>
                      <wp:docPr id="263" name="Frame262"/>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plans or programs</w:t>
            </w:r>
            <w:r>
              <w:rPr>
                <w:rFonts w:ascii="Times New Roman;Times;serif" w:hAnsi="Times New Roman;Times;serif"/>
                <w:b/>
                <w:sz w:val="14"/>
              </w:rPr>
              <w:t>(2)</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(in thousands)</w:t>
            </w:r>
            <w:r>
              <w:rPr>
                <w:rFonts w:ascii="Times New Roman;Times;serif" w:hAnsi="Times New Roman;Times;serif"/>
                <w:b/>
                <w:sz w:val="14"/>
              </w:rPr>
              <w:t>(2)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July 2024</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20,403</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2024</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16,775</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20,403</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September 2024</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69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20,403</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September 30, 2024, </w:t>
            </w:r>
            <w:r>
              <w:rPr>
                <w:rFonts w:ascii="Times New Roman;Times;serif" w:hAnsi="Times New Roman;Times;serif"/>
                <w:b w:val="false"/>
                <w:i w:val="false"/>
                <w:caps w:val="false"/>
                <w:smallCaps w:val="false"/>
                <w:sz w:val="20"/>
                <w:shd w:fill="FFFFFF" w:val="clear"/>
              </w:rPr>
              <w:t>all of the shares received were surrendered by employees in exchange for the payment of tax withholding upon the vesting of restricted stock awards.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w:t>
            </w:r>
          </w:p>
        </w:tc>
      </w:tr>
    </w:tbl>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2" w:name="Item3DefaultsUponSeniorSecurities"/>
      <w:bookmarkStart w:id="923" w:name="_ddefe94c_ae48_42e8_a8e7_b971feae7d97"/>
      <w:bookmarkEnd w:id="922"/>
      <w:bookmarkEnd w:id="92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24" w:name="Item4MineSafetyDisclosures_798178"/>
      <w:bookmarkStart w:id="925" w:name="_b1ef9f82_f8de_4526_a8fd_30680b7fb44b"/>
      <w:bookmarkEnd w:id="924"/>
      <w:bookmarkEnd w:id="925"/>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6" w:name="Item5OtherInformation"/>
      <w:bookmarkStart w:id="927" w:name="_a994a8ef_f8b2_44dd_933d_10c2602de3cb"/>
      <w:bookmarkEnd w:id="926"/>
      <w:bookmarkEnd w:id="927"/>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28" w:name="Item6Exhibits"/>
      <w:bookmarkStart w:id="929" w:name="_cc44334c_4a4d_4e8e_94dc_eed6f3a392e9"/>
      <w:bookmarkEnd w:id="928"/>
      <w:bookmarkEnd w:id="929"/>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767"/>
        <w:gridCol w:w="109"/>
        <w:gridCol w:w="9329"/>
      </w:tblGrid>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3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 filed September 13, 2023)</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409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40930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4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4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w:t>
      </w:r>
    </w:p>
    <w:p>
      <w:pPr>
        <w:pStyle w:val="TextBody"/>
        <w:bidi w:val="0"/>
        <w:spacing w:before="0" w:after="240"/>
        <w:ind w:left="0" w:right="0" w:hanging="0"/>
        <w:jc w:val="center"/>
        <w:rPr/>
      </w:pPr>
      <w:bookmarkStart w:id="930" w:name="_b6624a76_9ef5_4117_a221_8c6b3cd76b58"/>
      <w:bookmarkEnd w:id="930"/>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31" w:name="SIGNATURES_679961"/>
      <w:bookmarkEnd w:id="93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2091"/>
        <w:gridCol w:w="326"/>
        <w:gridCol w:w="401"/>
        <w:gridCol w:w="7387"/>
      </w:tblGrid>
      <w:tr>
        <w:trPr/>
        <w:tc>
          <w:tcPr>
            <w:tcW w:w="2091"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788"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2024</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38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7387"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3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738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right"/>
        <w:rPr>
          <w:rFonts w:ascii="Times New Roman;Times;serif" w:hAnsi="Times New Roman;Times;serif"/>
          <w:b/>
          <w:sz w:val="20"/>
        </w:rPr>
      </w:pPr>
      <w:bookmarkStart w:id="932" w:name="epm-20240930xex31d1.htm"/>
      <w:bookmarkStart w:id="933" w:name="ksepm20240930xex31d1"/>
      <w:bookmarkEnd w:id="932"/>
      <w:bookmarkEnd w:id="93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left"/>
        <w:rPr/>
      </w:pPr>
      <w:r>
        <w:rPr/>
        <w:t>​</w:t>
      </w:r>
    </w:p>
    <w:tbl>
      <w:tblPr>
        <w:tblW w:w="9047" w:type="dxa"/>
        <w:jc w:val="center"/>
        <w:tblInd w:w="0" w:type="dxa"/>
        <w:tblLayout w:type="fixed"/>
        <w:tblCellMar>
          <w:top w:w="0" w:type="dxa"/>
          <w:left w:w="0" w:type="dxa"/>
          <w:bottom w:w="0" w:type="dxa"/>
          <w:right w:w="0" w:type="dxa"/>
        </w:tblCellMar>
      </w:tblPr>
      <w:tblGrid>
        <w:gridCol w:w="2311"/>
        <w:gridCol w:w="6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67485" cy="175260"/>
                      <wp:effectExtent l="0" t="0" r="0" b="0"/>
                      <wp:wrapNone/>
                      <wp:docPr id="264" name="Frame26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77360" cy="175260"/>
                      <wp:effectExtent l="0" t="0" r="0" b="0"/>
                      <wp:wrapNone/>
                      <wp:docPr id="265" name="Frame264"/>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2024</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311"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311"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34" w:name="epm-20240930xex31d2.htm"/>
      <w:bookmarkStart w:id="935" w:name="ksepm20240930xex31d2"/>
      <w:bookmarkEnd w:id="934"/>
      <w:bookmarkEnd w:id="93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857" w:type="dxa"/>
        <w:jc w:val="center"/>
        <w:tblInd w:w="0" w:type="dxa"/>
        <w:tblLayout w:type="fixed"/>
        <w:tblCellMar>
          <w:top w:w="0" w:type="dxa"/>
          <w:left w:w="0" w:type="dxa"/>
          <w:bottom w:w="0" w:type="dxa"/>
          <w:right w:w="0" w:type="dxa"/>
        </w:tblCellMar>
      </w:tblPr>
      <w:tblGrid>
        <w:gridCol w:w="2311"/>
        <w:gridCol w:w="754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67485" cy="175260"/>
                      <wp:effectExtent l="0" t="0" r="0" b="0"/>
                      <wp:wrapNone/>
                      <wp:docPr id="266" name="Frame26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791710" cy="175260"/>
                      <wp:effectExtent l="0" t="0" r="0" b="0"/>
                      <wp:wrapNone/>
                      <wp:docPr id="267" name="Frame266"/>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2024</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311"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31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36" w:name="epm-20240930xex32d1.htm"/>
      <w:bookmarkStart w:id="937" w:name="ksepm20240930xex32d1"/>
      <w:bookmarkEnd w:id="936"/>
      <w:bookmarkEnd w:id="937"/>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September 30, 2024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13, 2024.</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8740" cy="175260"/>
                      <wp:effectExtent l="0" t="0" r="0" b="0"/>
                      <wp:wrapNone/>
                      <wp:docPr id="268" name="Frame26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77995" cy="175260"/>
                      <wp:effectExtent l="0" t="0" r="0" b="0"/>
                      <wp:wrapNone/>
                      <wp:docPr id="269" name="Frame268"/>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38" w:name="epm-20240930xex32d2.htm"/>
      <w:bookmarkStart w:id="939" w:name="ksepm20240930xex32d2"/>
      <w:bookmarkEnd w:id="938"/>
      <w:bookmarkEnd w:id="93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September 30, 2024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13, 2024.</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8740" cy="175260"/>
                      <wp:effectExtent l="0" t="0" r="0" b="0"/>
                      <wp:wrapNone/>
                      <wp:docPr id="270" name="Frame2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792345" cy="175260"/>
                      <wp:effectExtent l="0" t="0" r="0" b="0"/>
                      <wp:wrapNone/>
                      <wp:docPr id="271" name="Frame270"/>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18641</Words>
  <Characters>103713</Characters>
  <CharactersWithSpaces>123359</CharactersWithSpaces>
  <Paragraphs>4322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